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AB24" w14:textId="72765479" w:rsid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B. R. V. </w:t>
      </w:r>
      <w:r>
        <w:rPr>
          <w:rFonts w:ascii="Times New Roman" w:hAnsi="Times New Roman" w:cs="Times New Roman"/>
          <w:sz w:val="27"/>
          <w:szCs w:val="27"/>
        </w:rPr>
        <w:t>y otros c</w:t>
      </w:r>
      <w:r w:rsidRPr="003F4DA9">
        <w:rPr>
          <w:rFonts w:ascii="Times New Roman" w:hAnsi="Times New Roman" w:cs="Times New Roman"/>
          <w:sz w:val="27"/>
          <w:szCs w:val="27"/>
        </w:rPr>
        <w:t>/ M</w:t>
      </w:r>
      <w:r>
        <w:rPr>
          <w:rFonts w:ascii="Times New Roman" w:hAnsi="Times New Roman" w:cs="Times New Roman"/>
          <w:sz w:val="27"/>
          <w:szCs w:val="27"/>
        </w:rPr>
        <w:t>ilenium</w:t>
      </w:r>
      <w:r w:rsidRPr="003F4DA9">
        <w:rPr>
          <w:rFonts w:ascii="Times New Roman" w:hAnsi="Times New Roman" w:cs="Times New Roman"/>
          <w:sz w:val="27"/>
          <w:szCs w:val="27"/>
        </w:rPr>
        <w:t xml:space="preserve"> S</w:t>
      </w:r>
      <w:r>
        <w:rPr>
          <w:rFonts w:ascii="Times New Roman" w:hAnsi="Times New Roman" w:cs="Times New Roman"/>
          <w:sz w:val="27"/>
          <w:szCs w:val="27"/>
        </w:rPr>
        <w:t>alud</w:t>
      </w:r>
      <w:r w:rsidRPr="003F4DA9">
        <w:rPr>
          <w:rFonts w:ascii="Times New Roman" w:hAnsi="Times New Roman" w:cs="Times New Roman"/>
          <w:sz w:val="27"/>
          <w:szCs w:val="27"/>
        </w:rPr>
        <w:t xml:space="preserve"> S</w:t>
      </w:r>
      <w:r>
        <w:rPr>
          <w:rFonts w:ascii="Times New Roman" w:hAnsi="Times New Roman" w:cs="Times New Roman"/>
          <w:sz w:val="27"/>
          <w:szCs w:val="27"/>
        </w:rPr>
        <w:t>.</w:t>
      </w:r>
      <w:r w:rsidRPr="003F4DA9">
        <w:rPr>
          <w:rFonts w:ascii="Times New Roman" w:hAnsi="Times New Roman" w:cs="Times New Roman"/>
          <w:sz w:val="27"/>
          <w:szCs w:val="27"/>
        </w:rPr>
        <w:t>A</w:t>
      </w:r>
      <w:r>
        <w:rPr>
          <w:rFonts w:ascii="Times New Roman" w:hAnsi="Times New Roman" w:cs="Times New Roman"/>
          <w:sz w:val="27"/>
          <w:szCs w:val="27"/>
        </w:rPr>
        <w:t>. y otros s/ daños y perjuicios</w:t>
      </w:r>
      <w:r w:rsidRPr="003F4DA9">
        <w:rPr>
          <w:rFonts w:ascii="Times New Roman" w:hAnsi="Times New Roman" w:cs="Times New Roman"/>
          <w:sz w:val="27"/>
          <w:szCs w:val="27"/>
        </w:rPr>
        <w:t xml:space="preserve"> </w:t>
      </w:r>
    </w:p>
    <w:p w14:paraId="47F31D70" w14:textId="108EC7D3" w:rsidR="003F4DA9" w:rsidRDefault="003F4DA9" w:rsidP="003F4DA9">
      <w:pPr>
        <w:rPr>
          <w:rFonts w:ascii="Times New Roman" w:hAnsi="Times New Roman" w:cs="Times New Roman"/>
          <w:sz w:val="27"/>
          <w:szCs w:val="27"/>
        </w:rPr>
      </w:pPr>
      <w:r>
        <w:rPr>
          <w:rFonts w:ascii="Times New Roman" w:hAnsi="Times New Roman" w:cs="Times New Roman"/>
          <w:sz w:val="27"/>
          <w:szCs w:val="27"/>
        </w:rPr>
        <w:t xml:space="preserve">CÁMARA CIVIL – SALA F </w:t>
      </w:r>
    </w:p>
    <w:p w14:paraId="0D900D28" w14:textId="3ED7CF12" w:rsidR="003F4DA9" w:rsidRDefault="003F4DA9" w:rsidP="003F4DA9">
      <w:pPr>
        <w:rPr>
          <w:rFonts w:ascii="Times New Roman" w:hAnsi="Times New Roman" w:cs="Times New Roman"/>
          <w:sz w:val="27"/>
          <w:szCs w:val="27"/>
        </w:rPr>
      </w:pPr>
      <w:r>
        <w:rPr>
          <w:rFonts w:ascii="Times New Roman" w:hAnsi="Times New Roman" w:cs="Times New Roman"/>
          <w:sz w:val="27"/>
          <w:szCs w:val="27"/>
        </w:rPr>
        <w:t>18/03/2024</w:t>
      </w:r>
    </w:p>
    <w:p w14:paraId="6F864534" w14:textId="77777777" w:rsidR="003F4DA9" w:rsidRDefault="003F4DA9" w:rsidP="003F4DA9">
      <w:pPr>
        <w:rPr>
          <w:rFonts w:ascii="Times New Roman" w:hAnsi="Times New Roman" w:cs="Times New Roman"/>
          <w:sz w:val="27"/>
          <w:szCs w:val="27"/>
        </w:rPr>
      </w:pPr>
    </w:p>
    <w:p w14:paraId="477E0CD6" w14:textId="7768BF60"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Buenos Aires, Capital de la República Argentina, a los</w:t>
      </w:r>
      <w:r w:rsidRPr="003F4DA9">
        <w:rPr>
          <w:rFonts w:ascii="Times New Roman" w:hAnsi="Times New Roman" w:cs="Times New Roman"/>
          <w:sz w:val="27"/>
          <w:szCs w:val="27"/>
        </w:rPr>
        <w:tab/>
        <w:t>días</w:t>
      </w:r>
      <w:r w:rsidRPr="003F4DA9">
        <w:rPr>
          <w:rFonts w:ascii="Times New Roman" w:hAnsi="Times New Roman" w:cs="Times New Roman"/>
          <w:sz w:val="27"/>
          <w:szCs w:val="27"/>
        </w:rPr>
        <w:tab/>
        <w:t>del</w:t>
      </w:r>
      <w:r w:rsidRPr="003F4DA9">
        <w:rPr>
          <w:rFonts w:ascii="Times New Roman" w:hAnsi="Times New Roman" w:cs="Times New Roman"/>
          <w:sz w:val="27"/>
          <w:szCs w:val="27"/>
        </w:rPr>
        <w:tab/>
        <w:t>mes de marzo de 2024,</w:t>
      </w:r>
      <w:r>
        <w:rPr>
          <w:rFonts w:ascii="Times New Roman" w:hAnsi="Times New Roman" w:cs="Times New Roman"/>
          <w:sz w:val="27"/>
          <w:szCs w:val="27"/>
        </w:rPr>
        <w:t xml:space="preserve"> </w:t>
      </w:r>
      <w:r w:rsidRPr="003F4DA9">
        <w:rPr>
          <w:rFonts w:ascii="Times New Roman" w:hAnsi="Times New Roman" w:cs="Times New Roman"/>
          <w:sz w:val="27"/>
          <w:szCs w:val="27"/>
        </w:rPr>
        <w:t>reunidos en acuerdo los Sres. Jueces de la Excma. Cámara Nacional de Apelaciones en lo Civil, Sala "F" para conocer en los autos del epígrafe, respecto de las cuestiones sometidas a su decisión, a fin de determinar si es arreglada a derecho la sentencia apelada.</w:t>
      </w:r>
    </w:p>
    <w:p w14:paraId="49BF3E97"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Practicado el sorteo correspondiente resulto el siguiente orden de votación: Sres. Jueces de Cámara Dra. SCOLARICI. Dr. RAMOS FEIJOO. La vocalía N° 18 no interviene por hallarse vacante.</w:t>
      </w:r>
    </w:p>
    <w:p w14:paraId="15061EFC" w14:textId="2A5E1C19"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 la cuestión propuesta la Dra. Gabriela Mariel </w:t>
      </w:r>
      <w:proofErr w:type="spellStart"/>
      <w:r w:rsidRPr="003F4DA9">
        <w:rPr>
          <w:rFonts w:ascii="Times New Roman" w:hAnsi="Times New Roman" w:cs="Times New Roman"/>
          <w:sz w:val="27"/>
          <w:szCs w:val="27"/>
        </w:rPr>
        <w:t>Scolarici</w:t>
      </w:r>
      <w:proofErr w:type="spellEnd"/>
      <w:r>
        <w:rPr>
          <w:rFonts w:ascii="Times New Roman" w:hAnsi="Times New Roman" w:cs="Times New Roman"/>
          <w:sz w:val="27"/>
          <w:szCs w:val="27"/>
        </w:rPr>
        <w:t xml:space="preserve"> </w:t>
      </w:r>
      <w:r w:rsidRPr="003F4DA9">
        <w:rPr>
          <w:rFonts w:ascii="Times New Roman" w:hAnsi="Times New Roman" w:cs="Times New Roman"/>
          <w:sz w:val="27"/>
          <w:szCs w:val="27"/>
        </w:rPr>
        <w:t>dijo:</w:t>
      </w:r>
    </w:p>
    <w:p w14:paraId="26DF712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 la cuestión propuesta, la Dra. Gabriela M. </w:t>
      </w:r>
      <w:proofErr w:type="spellStart"/>
      <w:r w:rsidRPr="003F4DA9">
        <w:rPr>
          <w:rFonts w:ascii="Times New Roman" w:hAnsi="Times New Roman" w:cs="Times New Roman"/>
          <w:sz w:val="27"/>
          <w:szCs w:val="27"/>
        </w:rPr>
        <w:t>Scolarici</w:t>
      </w:r>
      <w:proofErr w:type="spellEnd"/>
      <w:r w:rsidRPr="003F4DA9">
        <w:rPr>
          <w:rFonts w:ascii="Times New Roman" w:hAnsi="Times New Roman" w:cs="Times New Roman"/>
          <w:sz w:val="27"/>
          <w:szCs w:val="27"/>
        </w:rPr>
        <w:t xml:space="preserve"> dijo:</w:t>
      </w:r>
    </w:p>
    <w:p w14:paraId="6505BE10"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I.</w:t>
      </w:r>
      <w:r w:rsidRPr="003F4DA9">
        <w:rPr>
          <w:rFonts w:ascii="Times New Roman" w:hAnsi="Times New Roman" w:cs="Times New Roman"/>
          <w:sz w:val="27"/>
          <w:szCs w:val="27"/>
        </w:rPr>
        <w:tab/>
        <w:t xml:space="preserve">La sentencia de grado dictada con fecha 28 de diciembre de 2022 declaro de oficio la falta de legitimación pasiva de "Sindicato del Personal de Industrias Químicas y Afines de la Capital Federal y Zonas Adyacentes" Rechazo la pretensión entablada contra E. de J. P. M., J. R. C. y M. </w:t>
      </w:r>
      <w:proofErr w:type="gramStart"/>
      <w:r w:rsidRPr="003F4DA9">
        <w:rPr>
          <w:rFonts w:ascii="Times New Roman" w:hAnsi="Times New Roman" w:cs="Times New Roman"/>
          <w:sz w:val="27"/>
          <w:szCs w:val="27"/>
        </w:rPr>
        <w:t>R..</w:t>
      </w:r>
      <w:proofErr w:type="gramEnd"/>
      <w:r w:rsidRPr="003F4DA9">
        <w:rPr>
          <w:rFonts w:ascii="Times New Roman" w:hAnsi="Times New Roman" w:cs="Times New Roman"/>
          <w:sz w:val="27"/>
          <w:szCs w:val="27"/>
        </w:rPr>
        <w:t xml:space="preserve"> Hizo lugar parcialmente a la pretensión promovida contra A. T., R. D., Millenium Salud S.A. y Obra Social del Personal de Industrias Químicas y Petroquímicas, a quienes condeno a abonar en forma concurrente a V. R. B. la suma de Pesos cuarenta y dos millones cuatrocientos mil ($ 42.400.000.-), a </w:t>
      </w:r>
      <w:proofErr w:type="spellStart"/>
      <w:r w:rsidRPr="003F4DA9">
        <w:rPr>
          <w:rFonts w:ascii="Times New Roman" w:hAnsi="Times New Roman" w:cs="Times New Roman"/>
          <w:sz w:val="27"/>
          <w:szCs w:val="27"/>
        </w:rPr>
        <w:t>A</w:t>
      </w:r>
      <w:proofErr w:type="spellEnd"/>
      <w:r w:rsidRPr="003F4DA9">
        <w:rPr>
          <w:rFonts w:ascii="Times New Roman" w:hAnsi="Times New Roman" w:cs="Times New Roman"/>
          <w:sz w:val="27"/>
          <w:szCs w:val="27"/>
        </w:rPr>
        <w:t xml:space="preserve">. C. M. de B. la suma de pesos doce millones doscientos sesenta mil ochocientos ($ 12.260.800.-), a </w:t>
      </w:r>
      <w:proofErr w:type="spellStart"/>
      <w:r w:rsidRPr="003F4DA9">
        <w:rPr>
          <w:rFonts w:ascii="Times New Roman" w:hAnsi="Times New Roman" w:cs="Times New Roman"/>
          <w:sz w:val="27"/>
          <w:szCs w:val="27"/>
        </w:rPr>
        <w:t>A</w:t>
      </w:r>
      <w:proofErr w:type="spellEnd"/>
      <w:r w:rsidRPr="003F4DA9">
        <w:rPr>
          <w:rFonts w:ascii="Times New Roman" w:hAnsi="Times New Roman" w:cs="Times New Roman"/>
          <w:sz w:val="27"/>
          <w:szCs w:val="27"/>
        </w:rPr>
        <w:t>. E. B. la suma de pesos siete millones quinientos setenta y cuatro mil doscientos treinta ($ 7.574.230.-), a L. E. B. la suma de pesos siete millones ochocientos treinta y seis mil ciento veinte ($ 7.836.120.-), a J. E. B. la suma de pesos ocho millones setecientos ocho mil ochocientos ($ 8.708.800.-) y a R. M. B. el importe de pesos ocho millones doscientos cuarenta y seis mil cien ($ 8.246.100.-). Ello más sus intereses y las costas del juicio.</w:t>
      </w:r>
    </w:p>
    <w:p w14:paraId="2859492D"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II.</w:t>
      </w:r>
      <w:r w:rsidRPr="003F4DA9">
        <w:rPr>
          <w:rFonts w:ascii="Times New Roman" w:hAnsi="Times New Roman" w:cs="Times New Roman"/>
          <w:sz w:val="27"/>
          <w:szCs w:val="27"/>
        </w:rPr>
        <w:tab/>
        <w:t>Contra el decisorio apela la parte actora, quien fundo su recurso mediante la presentación obrante a fs. 1432/1453, cuyo traslado fue respondido a fs. 1467/1490 y la Obra Social codemandada, quien expreso sus agravios a fs. 1459/1465, cuyo traslado fue respondido a fs. 1492/1507. El Sr. Fiscal de Cámara emitió su dictamen a fs. 1522 y la Sra. Defensora de Menores de Cámara lo hizo a fs. 1511/1514.</w:t>
      </w:r>
    </w:p>
    <w:p w14:paraId="0459034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Se dicto el llamamiento de autos, providencia que se encuentra firme, quedando de esta manera los presentes en estado de dictar sentencia.</w:t>
      </w:r>
    </w:p>
    <w:p w14:paraId="65DEF8D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III.</w:t>
      </w:r>
      <w:r w:rsidRPr="003F4DA9">
        <w:rPr>
          <w:rFonts w:ascii="Times New Roman" w:hAnsi="Times New Roman" w:cs="Times New Roman"/>
          <w:sz w:val="27"/>
          <w:szCs w:val="27"/>
        </w:rPr>
        <w:tab/>
        <w:t xml:space="preserve">Relataron los actores que el día 26 de enero de 2000 el coactor R. V. B. ingreso a la guardia del Sanatorio 24 de Septiembre por presentar un cólico renal y dolor en la zona vesicular, y quedo internado a fin de ser medicado con analgésicos y "evaluar una probable </w:t>
      </w:r>
      <w:proofErr w:type="spellStart"/>
      <w:r w:rsidRPr="003F4DA9">
        <w:rPr>
          <w:rFonts w:ascii="Times New Roman" w:hAnsi="Times New Roman" w:cs="Times New Roman"/>
          <w:sz w:val="27"/>
          <w:szCs w:val="27"/>
        </w:rPr>
        <w:t>nefrectomia</w:t>
      </w:r>
      <w:proofErr w:type="spellEnd"/>
      <w:r w:rsidRPr="003F4DA9">
        <w:rPr>
          <w:rFonts w:ascii="Times New Roman" w:hAnsi="Times New Roman" w:cs="Times New Roman"/>
          <w:sz w:val="27"/>
          <w:szCs w:val="27"/>
        </w:rPr>
        <w:t xml:space="preserve">", siendo atendido por el medico urólogo A. </w:t>
      </w:r>
      <w:proofErr w:type="gramStart"/>
      <w:r w:rsidRPr="003F4DA9">
        <w:rPr>
          <w:rFonts w:ascii="Times New Roman" w:hAnsi="Times New Roman" w:cs="Times New Roman"/>
          <w:sz w:val="27"/>
          <w:szCs w:val="27"/>
        </w:rPr>
        <w:t>T..</w:t>
      </w:r>
      <w:proofErr w:type="gramEnd"/>
    </w:p>
    <w:p w14:paraId="35FDC96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Que el 27 de enero de ese mismo año fue atendido por los médicos J. R. C. y C. R. y se le diagnostico "calculosis renal derecha y calculosis en la vía biliar". Que continuo su atención los siguientes días y el 31 de enero de 2000 fue atendido por el Dr. D.A. I., quien observó el </w:t>
      </w:r>
      <w:proofErr w:type="spellStart"/>
      <w:r w:rsidRPr="003F4DA9">
        <w:rPr>
          <w:rFonts w:ascii="Times New Roman" w:hAnsi="Times New Roman" w:cs="Times New Roman"/>
          <w:sz w:val="27"/>
          <w:szCs w:val="27"/>
        </w:rPr>
        <w:t>centellograma</w:t>
      </w:r>
      <w:proofErr w:type="spellEnd"/>
      <w:r w:rsidRPr="003F4DA9">
        <w:rPr>
          <w:rFonts w:ascii="Times New Roman" w:hAnsi="Times New Roman" w:cs="Times New Roman"/>
          <w:sz w:val="27"/>
          <w:szCs w:val="27"/>
        </w:rPr>
        <w:t xml:space="preserve"> renal que se le había practicado, el cual mostraba signos de obstrucción urinaria en riñón derecho -</w:t>
      </w:r>
      <w:proofErr w:type="spellStart"/>
      <w:r w:rsidRPr="003F4DA9">
        <w:rPr>
          <w:rFonts w:ascii="Times New Roman" w:hAnsi="Times New Roman" w:cs="Times New Roman"/>
          <w:sz w:val="27"/>
          <w:szCs w:val="27"/>
        </w:rPr>
        <w:t>uronefrosis</w:t>
      </w:r>
      <w:proofErr w:type="spellEnd"/>
      <w:r w:rsidRPr="003F4DA9">
        <w:rPr>
          <w:rFonts w:ascii="Times New Roman" w:hAnsi="Times New Roman" w:cs="Times New Roman"/>
          <w:sz w:val="27"/>
          <w:szCs w:val="27"/>
        </w:rPr>
        <w:t>-.</w:t>
      </w:r>
    </w:p>
    <w:p w14:paraId="6423E76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Continuaron relatando que el día 2 de febrero de 2000 el Dr. T. evaluó el Sr. B. y, tras el resultado del </w:t>
      </w:r>
      <w:proofErr w:type="spellStart"/>
      <w:r w:rsidRPr="003F4DA9">
        <w:rPr>
          <w:rFonts w:ascii="Times New Roman" w:hAnsi="Times New Roman" w:cs="Times New Roman"/>
          <w:sz w:val="27"/>
          <w:szCs w:val="27"/>
        </w:rPr>
        <w:t>centellograma</w:t>
      </w:r>
      <w:proofErr w:type="spellEnd"/>
      <w:r w:rsidRPr="003F4DA9">
        <w:rPr>
          <w:rFonts w:ascii="Times New Roman" w:hAnsi="Times New Roman" w:cs="Times New Roman"/>
          <w:sz w:val="27"/>
          <w:szCs w:val="27"/>
        </w:rPr>
        <w:t xml:space="preserve"> y una ecografía en la cual se observó "alteración parenquimatosa severa", decidió programar una cirugía a fin de realizarle una nefrectomía (extirpación del riñón derecho) junto con el Dr. C., quien le extirparía la vesícula biliar en el mismo acto quirúrgico. Que en dicha oportunidad se le suministro Buscapina y </w:t>
      </w:r>
      <w:proofErr w:type="spellStart"/>
      <w:r w:rsidRPr="003F4DA9">
        <w:rPr>
          <w:rFonts w:ascii="Times New Roman" w:hAnsi="Times New Roman" w:cs="Times New Roman"/>
          <w:sz w:val="27"/>
          <w:szCs w:val="27"/>
        </w:rPr>
        <w:t>Klosidol</w:t>
      </w:r>
      <w:proofErr w:type="spellEnd"/>
      <w:r w:rsidRPr="003F4DA9">
        <w:rPr>
          <w:rFonts w:ascii="Times New Roman" w:hAnsi="Times New Roman" w:cs="Times New Roman"/>
          <w:sz w:val="27"/>
          <w:szCs w:val="27"/>
        </w:rPr>
        <w:t xml:space="preserve"> y tuvo una buena evolución, siendo dado de alta.</w:t>
      </w:r>
    </w:p>
    <w:p w14:paraId="50705D36"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Sostuvieron que el día 6 de febrero de 2000 el Sr. B. regresó al sanatorio con los mismos síntomas y fue atendido por el Dr. E. P. y el Dr. M. R., quien sugirió suministrarle una ampolla de Buscapina y Ciprofloxacina. Luego refirieron que ese mismo día le suministraron 6 ampollas de </w:t>
      </w:r>
      <w:proofErr w:type="spellStart"/>
      <w:r w:rsidRPr="003F4DA9">
        <w:rPr>
          <w:rFonts w:ascii="Times New Roman" w:hAnsi="Times New Roman" w:cs="Times New Roman"/>
          <w:sz w:val="27"/>
          <w:szCs w:val="27"/>
        </w:rPr>
        <w:t>Klosidol</w:t>
      </w:r>
      <w:proofErr w:type="spellEnd"/>
      <w:r w:rsidRPr="003F4DA9">
        <w:rPr>
          <w:rFonts w:ascii="Times New Roman" w:hAnsi="Times New Roman" w:cs="Times New Roman"/>
          <w:sz w:val="27"/>
          <w:szCs w:val="27"/>
        </w:rPr>
        <w:t>, 3 ampollas de Buscapina a las 20 horas y otras 4 a la 1 del 7 de febrero de 2000.</w:t>
      </w:r>
    </w:p>
    <w:p w14:paraId="01B4CCD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Que el día para el cual estaba programada la cirugía el paciente presento una "reacción alérgica con erupción cutánea y edema facial", por lo que se decidió suspender la cirugía y se le prescribieron corticoides y, una vez que evoluciono favorablemente se programó la cirugía para el día 16 de febrero de 2000.</w:t>
      </w:r>
    </w:p>
    <w:p w14:paraId="10222C7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En dicha fecha el Sr. B. fue ingresado al quirófano a las 9 horas y a las 11:30 horas salió el cirujano con el anestesista y le dijeron a su esposa, la </w:t>
      </w:r>
      <w:proofErr w:type="spellStart"/>
      <w:r w:rsidRPr="003F4DA9">
        <w:rPr>
          <w:rFonts w:ascii="Times New Roman" w:hAnsi="Times New Roman" w:cs="Times New Roman"/>
          <w:sz w:val="27"/>
          <w:szCs w:val="27"/>
        </w:rPr>
        <w:t>coactora</w:t>
      </w:r>
      <w:proofErr w:type="spellEnd"/>
      <w:r w:rsidRPr="003F4DA9">
        <w:rPr>
          <w:rFonts w:ascii="Times New Roman" w:hAnsi="Times New Roman" w:cs="Times New Roman"/>
          <w:sz w:val="27"/>
          <w:szCs w:val="27"/>
        </w:rPr>
        <w:t xml:space="preserve"> M., que había sufrido un paro- cardiorrespiratorio, y a consecuencia de este, una anoxia cerebral, entrando en un estado de coma profundo, quedando ciego, sordo, mudo y sin control de esfínteres.</w:t>
      </w:r>
    </w:p>
    <w:p w14:paraId="0A11AAF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Señalan los actores que el tratamiento en el quirófano del paro cardiorrespiratorio fue manual, con suministro de fármacos y desfibrilación, de lo cual se colige que no fue atendido por un cardiólogo y con los elementos </w:t>
      </w:r>
      <w:r w:rsidRPr="003F4DA9">
        <w:rPr>
          <w:rFonts w:ascii="Times New Roman" w:hAnsi="Times New Roman" w:cs="Times New Roman"/>
          <w:sz w:val="27"/>
          <w:szCs w:val="27"/>
        </w:rPr>
        <w:lastRenderedPageBreak/>
        <w:t>adecuados, y que, además, no se hicieron los estudios electrocardiográficos previos al paro cardiaco, durante o después.</w:t>
      </w:r>
    </w:p>
    <w:p w14:paraId="62D82090"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Afirman que no existió consentimiento informado sobre los riesgos de la operación.</w:t>
      </w:r>
    </w:p>
    <w:p w14:paraId="186630E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Seguidamente refirieron que el 25 de febrero de 2000 el Sr. B. fue derivado al Hospital Fiorito en estado de coma profundo a fin de intentar un tratamiento de rehabilitación, pero ante la imposibilidad de obtener una buena recuperación en dicho nosocomio, fue derivado a la Clínica Santa Catalina y permaneció allí 3 meses. Que allí obtuvo logro ciertas mejorías, recuperando parte del habla, comenzando a ver cosas desde muy de cerca y a reconocer a la gente. Oía mejor y hasta pudo pararse y caminar, aunque con dificultad y ayuda.</w:t>
      </w:r>
    </w:p>
    <w:p w14:paraId="236F83D6"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 continuación relataron que, encontrándose en dicha institución, el Sr. B. comenzó a tornarse agresivo y debió ser derivado a un instituto psiquiátrico, en donde permaneció unos 15 o 20 días, pero luego de ser dado de alta solo pudo permanecer 4 días en su casa pues volvió a tornarse agresivo, poniendo en peligro tanto la integridad física de sus hijos como la de su esposa, lo cual motivo que se lo internara nuevamente en el Instituto Psiquiátrico San Cayetano, donde permanecía a la fecha de la demanda.</w:t>
      </w:r>
    </w:p>
    <w:p w14:paraId="082161C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IV.</w:t>
      </w:r>
      <w:r w:rsidRPr="003F4DA9">
        <w:rPr>
          <w:rFonts w:ascii="Times New Roman" w:hAnsi="Times New Roman" w:cs="Times New Roman"/>
          <w:sz w:val="27"/>
          <w:szCs w:val="27"/>
        </w:rPr>
        <w:tab/>
        <w:t>Agravios</w:t>
      </w:r>
    </w:p>
    <w:p w14:paraId="03B05873"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Se agravian los actores de la declaración de falta de legitimación pasiva respecto del codemandado "Sindicato del Personal de Industrias Químicas y Petroquímicas"</w:t>
      </w:r>
    </w:p>
    <w:p w14:paraId="1F3DE8C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Alegan al respecto que el referido sindicato es el propietario del inmueble donde funcionaba el Sanatorio 24 de Septiembre, y que si bien se adujo que dicho inmueble había sido alquilado a la </w:t>
      </w:r>
      <w:proofErr w:type="spellStart"/>
      <w:r w:rsidRPr="003F4DA9">
        <w:rPr>
          <w:rFonts w:ascii="Times New Roman" w:hAnsi="Times New Roman" w:cs="Times New Roman"/>
          <w:sz w:val="27"/>
          <w:szCs w:val="27"/>
        </w:rPr>
        <w:t>co</w:t>
      </w:r>
      <w:proofErr w:type="spellEnd"/>
      <w:r w:rsidRPr="003F4DA9">
        <w:rPr>
          <w:rFonts w:ascii="Times New Roman" w:hAnsi="Times New Roman" w:cs="Times New Roman"/>
          <w:sz w:val="27"/>
          <w:szCs w:val="27"/>
        </w:rPr>
        <w:t>- demandada "Milenium Salud S.A" el día 1 de enero de 2000, siendo esa fecha la que se consignó en el contrato de locación adjuntado al proceso, la fecha en que fueron certificadas las firmas insertas en dicho instrumento es el día 13 de marzo de 2000, es decir posterior a la fecha del hecho que motiva estas actuaciones.</w:t>
      </w:r>
    </w:p>
    <w:p w14:paraId="2516F7B3"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Por otra parte, sostienen que la cobertura médica de los afiliados del sindicato la brindaba la obra social demandada, a la cual el sindicato le proveía las instalaciones hospitalarias de su propiedad, donde funcionaba la clínica 24 de </w:t>
      </w:r>
      <w:proofErr w:type="gramStart"/>
      <w:r w:rsidRPr="003F4DA9">
        <w:rPr>
          <w:rFonts w:ascii="Times New Roman" w:hAnsi="Times New Roman" w:cs="Times New Roman"/>
          <w:sz w:val="27"/>
          <w:szCs w:val="27"/>
        </w:rPr>
        <w:t>Septiembre</w:t>
      </w:r>
      <w:proofErr w:type="gramEnd"/>
      <w:r w:rsidRPr="003F4DA9">
        <w:rPr>
          <w:rFonts w:ascii="Times New Roman" w:hAnsi="Times New Roman" w:cs="Times New Roman"/>
          <w:sz w:val="27"/>
          <w:szCs w:val="27"/>
        </w:rPr>
        <w:t xml:space="preserve"> y que la codemandada "Milenium Salud SA" era una sociedad "de paja" o "fantasma" creada a fin de "repeler el deber de responder civilmente del sindicato", ya que no se le demostró a dicha sociedad actividad comercial alguna.</w:t>
      </w:r>
    </w:p>
    <w:p w14:paraId="7D2961B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Por otra parte, se agravia el coactor R. V. B. del rechazo del reclamo efectuado en concepto de "lucro cesante"</w:t>
      </w:r>
    </w:p>
    <w:p w14:paraId="3796CBED"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Finalmente se quejan de que se haya desestimado el planteo de indexación efectuado en la demanda y solicitan se declare la in- constitucionalidad de las leyes 23928 y 25561 y del decreto 214/02.</w:t>
      </w:r>
    </w:p>
    <w:p w14:paraId="2F1A152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La obra social codemandada se agravia de la responsabilidad que le atribuyo la magistrada de grado, alegando que la sentencia resulta arbitraria, que "Mileniun Salud SA" era la titular de la explotación del Sanatorio 24 de </w:t>
      </w:r>
      <w:proofErr w:type="gramStart"/>
      <w:r w:rsidRPr="003F4DA9">
        <w:rPr>
          <w:rFonts w:ascii="Times New Roman" w:hAnsi="Times New Roman" w:cs="Times New Roman"/>
          <w:sz w:val="27"/>
          <w:szCs w:val="27"/>
        </w:rPr>
        <w:t>Septiembre</w:t>
      </w:r>
      <w:proofErr w:type="gramEnd"/>
      <w:r w:rsidRPr="003F4DA9">
        <w:rPr>
          <w:rFonts w:ascii="Times New Roman" w:hAnsi="Times New Roman" w:cs="Times New Roman"/>
          <w:sz w:val="27"/>
          <w:szCs w:val="27"/>
        </w:rPr>
        <w:t>, siendo su propietario el sindicato codemandado.</w:t>
      </w:r>
    </w:p>
    <w:p w14:paraId="16AA0250"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su dictamen la Sra. Defensora de Menores e Incapaces de Cámara adhirió a los agravios presentados por el actor y se agravio asimismo por considerar insuficiente el importe fijado por "incapacidad psicofísica" y "daño moral".</w:t>
      </w:r>
    </w:p>
    <w:p w14:paraId="132770A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V.</w:t>
      </w:r>
      <w:r w:rsidRPr="003F4DA9">
        <w:rPr>
          <w:rFonts w:ascii="Times New Roman" w:hAnsi="Times New Roman" w:cs="Times New Roman"/>
          <w:sz w:val="27"/>
          <w:szCs w:val="27"/>
        </w:rPr>
        <w:tab/>
        <w:t xml:space="preserve">Como previo y antes de entrar en el tratamiento de los agravios deducidos cabe precisar que el nuevo Código Civil y Comercial de la Nación que entró en vigencia el 1 de agosto de 2015 y fue aprobado por la ley 26.994 contempla de manera expresa lo relativo a la "temporalidad" de la ley. Es menester interpretar coherentemente lo dispuesto por su art. 7° sobre la base de la irretroactividad de la ley respecto de las situaciones jurídicas ya constituidas, y el principio de efecto inmediato de la nueva ley sobre las situaciones que acontezcan, o relaciones jurídicas que se creen con posterioridad a su vigencia, así como a las consecuencias de las relaciones y situaciones jurídicas existentes. Las consecuencias son los efectos, -de </w:t>
      </w:r>
      <w:proofErr w:type="gramStart"/>
      <w:r w:rsidRPr="003F4DA9">
        <w:rPr>
          <w:rFonts w:ascii="Times New Roman" w:hAnsi="Times New Roman" w:cs="Times New Roman"/>
          <w:sz w:val="27"/>
          <w:szCs w:val="27"/>
        </w:rPr>
        <w:t>hecho</w:t>
      </w:r>
      <w:proofErr w:type="gramEnd"/>
      <w:r w:rsidRPr="003F4DA9">
        <w:rPr>
          <w:rFonts w:ascii="Times New Roman" w:hAnsi="Times New Roman" w:cs="Times New Roman"/>
          <w:sz w:val="27"/>
          <w:szCs w:val="27"/>
        </w:rPr>
        <w:t xml:space="preserve"> o de derecho- que reconocen como causa, una situación o relación jurídica por ende atento que en los presentes obrados la situación de que se trata, ha quedado constituida, con sus consecuencias devengadas, conforme a la ley anterior, corresponde analizar la cuestión a la luz de la misma, así como la doctrina y jurisprudencia a ella aplicable.</w:t>
      </w:r>
    </w:p>
    <w:p w14:paraId="6B1AB733"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Anticipo que seguiré a los recurrentes en las alegaciones que sean conducentes para decidir este conflicto (conf. CSJN Fallos: 258:304, entre otros) pues recuerdo que como todas las pruebas no tienen el mismo peso, me apoyare en las que resulten apropiadas para resolver el caso (conf. CSJN, Fallos: 274:113) las que produzcan </w:t>
      </w:r>
      <w:proofErr w:type="spellStart"/>
      <w:r w:rsidRPr="003F4DA9">
        <w:rPr>
          <w:rFonts w:ascii="Times New Roman" w:hAnsi="Times New Roman" w:cs="Times New Roman"/>
          <w:sz w:val="27"/>
          <w:szCs w:val="27"/>
        </w:rPr>
        <w:t>ma-yor</w:t>
      </w:r>
      <w:proofErr w:type="spellEnd"/>
      <w:r w:rsidRPr="003F4DA9">
        <w:rPr>
          <w:rFonts w:ascii="Times New Roman" w:hAnsi="Times New Roman" w:cs="Times New Roman"/>
          <w:sz w:val="27"/>
          <w:szCs w:val="27"/>
        </w:rPr>
        <w:t xml:space="preserve"> convicción en concordancia con los demás elementos de mérito de la causa. Se considerarán, entonces, los hechos "jurídicamente relevantes" (Aragoneses Alonso, Pedro, Proceso y Derecho Procesal); o "singularmente trascendentes" (Calamandrei, Piero, La génesis lógica de la sentencia civil).</w:t>
      </w:r>
    </w:p>
    <w:p w14:paraId="7AF3004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VI.</w:t>
      </w:r>
      <w:r w:rsidRPr="003F4DA9">
        <w:rPr>
          <w:rFonts w:ascii="Times New Roman" w:hAnsi="Times New Roman" w:cs="Times New Roman"/>
          <w:sz w:val="27"/>
          <w:szCs w:val="27"/>
        </w:rPr>
        <w:tab/>
        <w:t>Legitimación pasiva de la codemandada "Sindicato del Personal de Industrias Químicas y Afines de la Capital Federal y Zonas Adyacentes".</w:t>
      </w:r>
    </w:p>
    <w:p w14:paraId="575DD0F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 xml:space="preserve">La Sra. jueza de primera instancia declaro de oficio la falta de legitimación pasiva del sindicato demandado. Dicha decisión motivo el agravio de la parte actora, quien en su memorial alega que el referido sindicato es el propietario del inmueble donde funcionaba el Sanatorio 24 de Septiembre, y que si bien se adujo que dicho </w:t>
      </w:r>
      <w:proofErr w:type="spellStart"/>
      <w:r w:rsidRPr="003F4DA9">
        <w:rPr>
          <w:rFonts w:ascii="Times New Roman" w:hAnsi="Times New Roman" w:cs="Times New Roman"/>
          <w:sz w:val="27"/>
          <w:szCs w:val="27"/>
        </w:rPr>
        <w:t>in-mueble</w:t>
      </w:r>
      <w:proofErr w:type="spellEnd"/>
      <w:r w:rsidRPr="003F4DA9">
        <w:rPr>
          <w:rFonts w:ascii="Times New Roman" w:hAnsi="Times New Roman" w:cs="Times New Roman"/>
          <w:sz w:val="27"/>
          <w:szCs w:val="27"/>
        </w:rPr>
        <w:t xml:space="preserve"> había sido alquilado a la codemandada "Milenium Salud S.A" el día 1 de enero de 2000, siendo esa fecha la que se consignó en el contrato de locación adjuntado al proceso, la fecha en que fueron certificadas las firmas insertas en dicho instrumento es el día 13 de marzo de 2000, es decir posterior a la fecha del hecho que motiva es- tas actuaciones.</w:t>
      </w:r>
    </w:p>
    <w:p w14:paraId="4527AB9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Por otra parte, sostienen que la cobertura médica de los afiliados del sindicato la brindaba la obra social demandada, a la cual el sindicato le proveía las instalaciones hospitalarias de su propiedad, donde funcionaba la clínica 24 de </w:t>
      </w:r>
      <w:proofErr w:type="gramStart"/>
      <w:r w:rsidRPr="003F4DA9">
        <w:rPr>
          <w:rFonts w:ascii="Times New Roman" w:hAnsi="Times New Roman" w:cs="Times New Roman"/>
          <w:sz w:val="27"/>
          <w:szCs w:val="27"/>
        </w:rPr>
        <w:t>Septiembre</w:t>
      </w:r>
      <w:proofErr w:type="gramEnd"/>
      <w:r w:rsidRPr="003F4DA9">
        <w:rPr>
          <w:rFonts w:ascii="Times New Roman" w:hAnsi="Times New Roman" w:cs="Times New Roman"/>
          <w:sz w:val="27"/>
          <w:szCs w:val="27"/>
        </w:rPr>
        <w:t xml:space="preserve"> y que la codemandada "Milenium Salud SA" era una sociedad "de paja" o "fantasma" creada a fin de "repeler el deber de responder civilmente del sindicato", ya que no se le demostró a dicha sociedad actividad comercial alguna.</w:t>
      </w:r>
    </w:p>
    <w:p w14:paraId="1DEDA6D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La legitimación para obrar en la causa denota la condición jurídica en la que se hallan una o varias personas en relación con el derecho que se invocare en el proceso, ya sea en razón de la titularidad del mismo o de otras circunstancias idóneas para justificar su pretensión, configurando ello, en todos los casos, un elemento sustancial de la litis, cuya ausencia impide que la sentencia resuelva la debida relación sustancial del debate (cfr. Fenochietto, Carlos E., "Código Procesal", comentario al art. 347, </w:t>
      </w:r>
      <w:proofErr w:type="spellStart"/>
      <w:r w:rsidRPr="003F4DA9">
        <w:rPr>
          <w:rFonts w:ascii="Times New Roman" w:hAnsi="Times New Roman" w:cs="Times New Roman"/>
          <w:sz w:val="27"/>
          <w:szCs w:val="27"/>
        </w:rPr>
        <w:t>ps</w:t>
      </w:r>
      <w:proofErr w:type="spellEnd"/>
      <w:r w:rsidRPr="003F4DA9">
        <w:rPr>
          <w:rFonts w:ascii="Times New Roman" w:hAnsi="Times New Roman" w:cs="Times New Roman"/>
          <w:sz w:val="27"/>
          <w:szCs w:val="27"/>
        </w:rPr>
        <w:t xml:space="preserve">. 3547 </w:t>
      </w:r>
      <w:proofErr w:type="gramStart"/>
      <w:r w:rsidRPr="003F4DA9">
        <w:rPr>
          <w:rFonts w:ascii="Times New Roman" w:hAnsi="Times New Roman" w:cs="Times New Roman"/>
          <w:sz w:val="27"/>
          <w:szCs w:val="27"/>
        </w:rPr>
        <w:t>355 ,</w:t>
      </w:r>
      <w:proofErr w:type="gramEnd"/>
      <w:r w:rsidRPr="003F4DA9">
        <w:rPr>
          <w:rFonts w:ascii="Times New Roman" w:hAnsi="Times New Roman" w:cs="Times New Roman"/>
          <w:sz w:val="27"/>
          <w:szCs w:val="27"/>
        </w:rPr>
        <w:t xml:space="preserve"> Ed. Astrea).</w:t>
      </w:r>
    </w:p>
    <w:p w14:paraId="4126D67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La "legitimatio ad causam" es la correspondencia del derecho sustancial con la persona que lo hace valer pues la pauta para determinar la existencia de legitimación procesal está dada, en principio, por la titularidad activa o pasiva de la relación jurídica sustancial controvertida en el proceso.</w:t>
      </w:r>
    </w:p>
    <w:p w14:paraId="09FF0BF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Sabido es que la falta de legitimación constituye un impedimento sustancial para que el juez pueda emitir sentencia de fondo o de mérito, ya que constituye un presupuesto de la pretensión contenida en la demanda y de la oposición que a aquella formula el accionado, para que sea posible la sentencia de fondo que resuelva sobre ellas. Forma parte de la fundamentación de la demanda en sentido general.</w:t>
      </w:r>
    </w:p>
    <w:p w14:paraId="187BEAEA"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Resulta evidente de lo expuesto, que la legitimación en la causa (como el llamado por </w:t>
      </w:r>
      <w:proofErr w:type="gramStart"/>
      <w:r w:rsidRPr="003F4DA9">
        <w:rPr>
          <w:rFonts w:ascii="Times New Roman" w:hAnsi="Times New Roman" w:cs="Times New Roman"/>
          <w:sz w:val="27"/>
          <w:szCs w:val="27"/>
        </w:rPr>
        <w:t>algunos interés sustancial</w:t>
      </w:r>
      <w:proofErr w:type="gramEnd"/>
      <w:r w:rsidRPr="003F4DA9">
        <w:rPr>
          <w:rFonts w:ascii="Times New Roman" w:hAnsi="Times New Roman" w:cs="Times New Roman"/>
          <w:sz w:val="27"/>
          <w:szCs w:val="27"/>
        </w:rPr>
        <w:t xml:space="preserve"> para obrar) no es un presupuesto procesal, porque lejos de referirse al procedimiento, al valido ejercicio de la </w:t>
      </w:r>
      <w:r w:rsidRPr="003F4DA9">
        <w:rPr>
          <w:rFonts w:ascii="Times New Roman" w:hAnsi="Times New Roman" w:cs="Times New Roman"/>
          <w:sz w:val="27"/>
          <w:szCs w:val="27"/>
        </w:rPr>
        <w:lastRenderedPageBreak/>
        <w:t>acción, contempla la relación sustancial que debe existir entre el sujeto demandante o demandado y el interés sustancial discutido en el proceso.</w:t>
      </w:r>
    </w:p>
    <w:p w14:paraId="64EFCC1A"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Se trata de presupuestos materiales o sustanciales para la sentencia de fondo. Su ausencia debe declararse en la sentencia, ya </w:t>
      </w:r>
    </w:p>
    <w:p w14:paraId="5E75EB0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que la debida legitimación en la causa constituye un impedimento sustancial para que el juez pueda proferir sentencia de fondo y merito, y no una excepción ni un impedimento procesal. Si en el momento de decidir la litis, quien juzga encuentra que falta esta condición para la sentencia de fondo o merito, debe declararlo así oficiosamente y limitarse a proferir una sentencia inhibitoria. Es decir, está impedido de resolver sobre la existencia del derecho material pretendido, por lo cual no niega ni afirma que ese derecho exista, es imposible entonces, que se produzca cosa juzgada sobre un punto que no ha si do objeto de la decisión (</w:t>
      </w:r>
      <w:proofErr w:type="spellStart"/>
      <w:r w:rsidRPr="003F4DA9">
        <w:rPr>
          <w:rFonts w:ascii="Times New Roman" w:hAnsi="Times New Roman" w:cs="Times New Roman"/>
          <w:sz w:val="27"/>
          <w:szCs w:val="27"/>
        </w:rPr>
        <w:t>Devis</w:t>
      </w:r>
      <w:proofErr w:type="spellEnd"/>
      <w:r w:rsidRPr="003F4DA9">
        <w:rPr>
          <w:rFonts w:ascii="Times New Roman" w:hAnsi="Times New Roman" w:cs="Times New Roman"/>
          <w:sz w:val="27"/>
          <w:szCs w:val="27"/>
        </w:rPr>
        <w:t xml:space="preserve"> </w:t>
      </w:r>
      <w:proofErr w:type="spellStart"/>
      <w:r w:rsidRPr="003F4DA9">
        <w:rPr>
          <w:rFonts w:ascii="Times New Roman" w:hAnsi="Times New Roman" w:cs="Times New Roman"/>
          <w:sz w:val="27"/>
          <w:szCs w:val="27"/>
        </w:rPr>
        <w:t>Echandia</w:t>
      </w:r>
      <w:proofErr w:type="spellEnd"/>
      <w:r w:rsidRPr="003F4DA9">
        <w:rPr>
          <w:rFonts w:ascii="Times New Roman" w:hAnsi="Times New Roman" w:cs="Times New Roman"/>
          <w:sz w:val="27"/>
          <w:szCs w:val="27"/>
        </w:rPr>
        <w:t xml:space="preserve"> "Teoría General del Proceso", T. I, capítulo XVI, pags. 287/313; Conf. CNCiv. esta Sala, 12/5/2021, Expte. N° 3.533/2012 "Caja de Seguros S.A. c/Bai Jun </w:t>
      </w:r>
      <w:proofErr w:type="spellStart"/>
      <w:r w:rsidRPr="003F4DA9">
        <w:rPr>
          <w:rFonts w:ascii="Times New Roman" w:hAnsi="Times New Roman" w:cs="Times New Roman"/>
          <w:sz w:val="27"/>
          <w:szCs w:val="27"/>
        </w:rPr>
        <w:t>Hwan</w:t>
      </w:r>
      <w:proofErr w:type="spellEnd"/>
      <w:r w:rsidRPr="003F4DA9">
        <w:rPr>
          <w:rFonts w:ascii="Times New Roman" w:hAnsi="Times New Roman" w:cs="Times New Roman"/>
          <w:sz w:val="27"/>
          <w:szCs w:val="27"/>
        </w:rPr>
        <w:t xml:space="preserve"> y otros s/cobro de sumas de dinero", Cita: MJ-JU-M-132304-AR | MJJ132304 | MJJ132304).</w:t>
      </w:r>
    </w:p>
    <w:p w14:paraId="6CC5F60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Ha dicho la Corte Suprema de Justicia de la Nación que la falta de legitimación sustancial se configura cuando alguna de las partes no es el titular de la relación jurídica en que se sustenta la pretensión, con prescindencia de que esta tenga o no fundamento (Conf. CSJN, 29/06/2004, Lexis N° 4/52434), como así también cuando el actor carece de interés jurídicamente tutelable (Conf. CSJN, 01/09/2003, Lexis N° 4/49375).</w:t>
      </w:r>
    </w:p>
    <w:p w14:paraId="017C7B3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El proceso debe desarrollarse respecto de sujetos que puedan ser útilmente los destinatarios de los efectos del mismo y, por consiguiente, de la tutela jurisdiccional. La aptitud para demandar y para contradecir coincide con la titularidad del derecho subjetivo sustancial y con el carácter de sujeto pasivo de esa relación sustancial. Cuando se controvierte en juicio sobre una relación de derecho privado, la legitimación para obrar y para contradecir corresponde, respectivamente, al sujeto activo y al sujeto pasivo de la relación sustancial controvertida.</w:t>
      </w:r>
    </w:p>
    <w:p w14:paraId="1F9056A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La defensa de falta de legitimación para obrar en el actor -activa- o en el demandado -pasiva- se identifica con la tradicionalmente denominada "falta de acción" (sine </w:t>
      </w:r>
      <w:proofErr w:type="spellStart"/>
      <w:r w:rsidRPr="003F4DA9">
        <w:rPr>
          <w:rFonts w:ascii="Times New Roman" w:hAnsi="Times New Roman" w:cs="Times New Roman"/>
          <w:sz w:val="27"/>
          <w:szCs w:val="27"/>
        </w:rPr>
        <w:t>actione</w:t>
      </w:r>
      <w:proofErr w:type="spellEnd"/>
      <w:r w:rsidRPr="003F4DA9">
        <w:rPr>
          <w:rFonts w:ascii="Times New Roman" w:hAnsi="Times New Roman" w:cs="Times New Roman"/>
          <w:sz w:val="27"/>
          <w:szCs w:val="27"/>
        </w:rPr>
        <w:t xml:space="preserve"> </w:t>
      </w:r>
      <w:proofErr w:type="spellStart"/>
      <w:r w:rsidRPr="003F4DA9">
        <w:rPr>
          <w:rFonts w:ascii="Times New Roman" w:hAnsi="Times New Roman" w:cs="Times New Roman"/>
          <w:sz w:val="27"/>
          <w:szCs w:val="27"/>
        </w:rPr>
        <w:t>agit</w:t>
      </w:r>
      <w:proofErr w:type="spellEnd"/>
      <w:r w:rsidRPr="003F4DA9">
        <w:rPr>
          <w:rFonts w:ascii="Times New Roman" w:hAnsi="Times New Roman" w:cs="Times New Roman"/>
          <w:sz w:val="27"/>
          <w:szCs w:val="27"/>
        </w:rPr>
        <w:t>). Por ello, la legitimación para obrar- como condición esencial de admisibilidad de la acción que es, puede y debe ser verificada, incluso de oficio, por el juzgador, aun mediando conformidad de partes por tratarse de un defecto sustancial de la pretensión.</w:t>
      </w:r>
    </w:p>
    <w:p w14:paraId="7F5A3FA7"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Se ha resuelto que por más que los sindicatos tengan significativas funciones en la defensa de los derechos de los trabajadores que lo vinculan a la obra social en cuanto prestadora del servicio de salud y de otros de carácter social </w:t>
      </w:r>
      <w:r w:rsidRPr="003F4DA9">
        <w:rPr>
          <w:rFonts w:ascii="Times New Roman" w:hAnsi="Times New Roman" w:cs="Times New Roman"/>
          <w:sz w:val="27"/>
          <w:szCs w:val="27"/>
        </w:rPr>
        <w:lastRenderedPageBreak/>
        <w:t xml:space="preserve">(arts. 12, inc. a, ley 23360 y 31, ley 23551; C. </w:t>
      </w:r>
      <w:proofErr w:type="spellStart"/>
      <w:r w:rsidRPr="003F4DA9">
        <w:rPr>
          <w:rFonts w:ascii="Times New Roman" w:hAnsi="Times New Roman" w:cs="Times New Roman"/>
          <w:sz w:val="27"/>
          <w:szCs w:val="27"/>
        </w:rPr>
        <w:t>Nac</w:t>
      </w:r>
      <w:proofErr w:type="spellEnd"/>
      <w:r w:rsidRPr="003F4DA9">
        <w:rPr>
          <w:rFonts w:ascii="Times New Roman" w:hAnsi="Times New Roman" w:cs="Times New Roman"/>
          <w:sz w:val="27"/>
          <w:szCs w:val="27"/>
        </w:rPr>
        <w:t xml:space="preserve">. Civ. y Com. Fed., sala 2a, 14/4/1998, "Unión de Trabajadores Gastronómicos de la República Argentina y otro v. Estado Nacional"), no es menos cierto que entre los sindicatos y las obras sociales, además de tratarse de distintas personas jurídicas, existe una clara diferenciación en cuanto al objeto que cada una de ellas persigue o debe resguardar, quedando sin duda en el ámbito de la obra social toda la actividad vinculada a las prestaciones medico asistenciales para sus beneficiarios. Por ello, el hecho de que el sindicato deba velar por las condiciones de vida del trabajador o su familia, no implica que quede incluida la necesidad de responder ante sus afiliados -o familiares cuando no son atendidos debidamente en centros médicos y/o asistenciales (cfr. C. </w:t>
      </w:r>
      <w:proofErr w:type="spellStart"/>
      <w:r w:rsidRPr="003F4DA9">
        <w:rPr>
          <w:rFonts w:ascii="Times New Roman" w:hAnsi="Times New Roman" w:cs="Times New Roman"/>
          <w:sz w:val="27"/>
          <w:szCs w:val="27"/>
        </w:rPr>
        <w:t>Nac</w:t>
      </w:r>
      <w:proofErr w:type="spellEnd"/>
      <w:r w:rsidRPr="003F4DA9">
        <w:rPr>
          <w:rFonts w:ascii="Times New Roman" w:hAnsi="Times New Roman" w:cs="Times New Roman"/>
          <w:sz w:val="27"/>
          <w:szCs w:val="27"/>
        </w:rPr>
        <w:t xml:space="preserve">. Civ., sala E, 7/4/1998, "Martínez Vidal, Manuel v. </w:t>
      </w:r>
      <w:proofErr w:type="spellStart"/>
      <w:r w:rsidRPr="003F4DA9">
        <w:rPr>
          <w:rFonts w:ascii="Times New Roman" w:hAnsi="Times New Roman" w:cs="Times New Roman"/>
          <w:sz w:val="27"/>
          <w:szCs w:val="27"/>
        </w:rPr>
        <w:t>Benetti</w:t>
      </w:r>
      <w:proofErr w:type="spellEnd"/>
      <w:r w:rsidRPr="003F4DA9">
        <w:rPr>
          <w:rFonts w:ascii="Times New Roman" w:hAnsi="Times New Roman" w:cs="Times New Roman"/>
          <w:sz w:val="27"/>
          <w:szCs w:val="27"/>
        </w:rPr>
        <w:t xml:space="preserve">, Francisco J. y otros s/danos y perjuicios", </w:t>
      </w:r>
      <w:proofErr w:type="spellStart"/>
      <w:r w:rsidRPr="003F4DA9">
        <w:rPr>
          <w:rFonts w:ascii="Times New Roman" w:hAnsi="Times New Roman" w:cs="Times New Roman"/>
          <w:sz w:val="27"/>
          <w:szCs w:val="27"/>
        </w:rPr>
        <w:t>CNCom</w:t>
      </w:r>
      <w:proofErr w:type="spellEnd"/>
      <w:r w:rsidRPr="003F4DA9">
        <w:rPr>
          <w:rFonts w:ascii="Times New Roman" w:hAnsi="Times New Roman" w:cs="Times New Roman"/>
          <w:sz w:val="27"/>
          <w:szCs w:val="27"/>
        </w:rPr>
        <w:t xml:space="preserve">, sala D, "B., J. C. v. Clínica Materno Infantil de la Unión Obrera Metalúrgica s/ordinario" del 03/12/2008; CNCiv. Sala "H", febrero 6/2024 "C. G. C. y otros c/ Obra Social de la Unión Obrera Metalúrgica de la República Argentina y otros s/Danos y Perjuicios - </w:t>
      </w:r>
      <w:proofErr w:type="spellStart"/>
      <w:proofErr w:type="gramStart"/>
      <w:r w:rsidRPr="003F4DA9">
        <w:rPr>
          <w:rFonts w:ascii="Times New Roman" w:hAnsi="Times New Roman" w:cs="Times New Roman"/>
          <w:sz w:val="27"/>
          <w:szCs w:val="27"/>
        </w:rPr>
        <w:t>resp.prof</w:t>
      </w:r>
      <w:proofErr w:type="gramEnd"/>
      <w:r w:rsidRPr="003F4DA9">
        <w:rPr>
          <w:rFonts w:ascii="Times New Roman" w:hAnsi="Times New Roman" w:cs="Times New Roman"/>
          <w:sz w:val="27"/>
          <w:szCs w:val="27"/>
        </w:rPr>
        <w:t>.medicos</w:t>
      </w:r>
      <w:proofErr w:type="spellEnd"/>
      <w:r w:rsidRPr="003F4DA9">
        <w:rPr>
          <w:rFonts w:ascii="Times New Roman" w:hAnsi="Times New Roman" w:cs="Times New Roman"/>
          <w:sz w:val="27"/>
          <w:szCs w:val="27"/>
        </w:rPr>
        <w:t xml:space="preserve"> y </w:t>
      </w:r>
      <w:proofErr w:type="spellStart"/>
      <w:r w:rsidRPr="003F4DA9">
        <w:rPr>
          <w:rFonts w:ascii="Times New Roman" w:hAnsi="Times New Roman" w:cs="Times New Roman"/>
          <w:sz w:val="27"/>
          <w:szCs w:val="27"/>
        </w:rPr>
        <w:t>aux</w:t>
      </w:r>
      <w:proofErr w:type="spellEnd"/>
      <w:r w:rsidRPr="003F4DA9">
        <w:rPr>
          <w:rFonts w:ascii="Times New Roman" w:hAnsi="Times New Roman" w:cs="Times New Roman"/>
          <w:sz w:val="27"/>
          <w:szCs w:val="27"/>
        </w:rPr>
        <w:t>" Expte. 91679/2012.).</w:t>
      </w:r>
    </w:p>
    <w:p w14:paraId="4448EB5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Como fue señalado por la sentenciante de grado, se ha aportado a esta causa el informe de dominio del inmueble a nombre de la entidad sindical y la parte actora ha agregado el estatuto de la demandada Milenium Salud S.A. (fs. 323/347) en el que consta que el objeto social consistente en la "Administración de sanatorios, clínicas médicas, prestación de cobertura médica prepaga, servicio de traslado de pacientes, emergencias médicas móviles..." y la publicación de su constitución en el Boletín Oficial donde consta el domicilio de la sede social en el que los actores solicitaron se tenga por notificado el traslado de la demanda.</w:t>
      </w:r>
    </w:p>
    <w:p w14:paraId="3C78EF46"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El Sindicato del Personal de Industrias Químicas y Afines de la Capital Federal y Zonas Adyacentes es el propietario del inmueble donde funcionaba el establecimiento médico que explotaba Milenium Salud S.A. en el que el paciente V. R. B., sufrió los danos que derivaron en los padecimientos acreditados en autos, más la circunstancia de que el sindicato demandado fuese el propietario del edificio donde funcionaba la clínica 24 de Septiembre no conlleva su responsabilidad por los hechos de autos, pues el sanatorio era explotado por "Milenium Salud S. A.", que a su vez fue contratada por la obra social codemandada para la prestación de servicios médicos a sus afiliados.</w:t>
      </w:r>
    </w:p>
    <w:p w14:paraId="068030A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 que no se han aportado elementos en la causa que acrediten los extremos invocados por la parte actora a fin de endilgar responsabilidad al mencionado sindicato, esto es que era este quien explotaba el sanatorio donde se prestaron los servicios médicos deficientes al actor y que "Milenium Salud SA" fuese una sociedad "fantasma" creada para evadir su responsabilidad.</w:t>
      </w:r>
    </w:p>
    <w:p w14:paraId="7ED6BFB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A mayor abundamiento, cabe señalar que los tribunales carecen por lo general de la facultad de prescindir de la forma de la persona jurídica y de las consecuencias que de ellas resulten, excepto cuando ha sido empleada para fines reprobables.</w:t>
      </w:r>
    </w:p>
    <w:p w14:paraId="0F86D6C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Solo cuando la persona jurídica abusa de su forma, se podría "descorrer el velo" de su personalidad y "penetrar" en su real</w:t>
      </w:r>
    </w:p>
    <w:p w14:paraId="42E9985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esencia para establecer la identidad entre ella y las personas que la componen.</w:t>
      </w:r>
    </w:p>
    <w:p w14:paraId="1685D62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La doctrina nacional ha sostenido que cuando la persona jurídica, apartándose de los fines para los que fue creada, abusa de su forma para obtener un resultado no querido al otorgársele esa prerrogativa, debe "descorrerse el velo" de su personalidad para "penetrar" en la real esencia de su substrato personal o patrimonial y poner de manifiesto los fines de los miembros cobijados tras la máscara, postulando la aplicación de esta doctrina tanto en aspectos de derecho público, como estrictamente privados.</w:t>
      </w:r>
    </w:p>
    <w:p w14:paraId="2774CDB7"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Esta teoría -que apunta a la prescindencia de la personalidad jurídica- constituye un recurso excepcional y restrictivo, aplicable solo cuando de las circunstancias particulares del caso puede inferirse con total certeza que se ha abusado de la estructura de la persona jurídica para alcanzar fines contrarios a ella o a los designios de la ley.</w:t>
      </w:r>
    </w:p>
    <w:p w14:paraId="4704A68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Entonces, es jurídicamente posible la investigación a posteriori de la realidad del ente, y la desestimación de su personalidad en casos excepcionales, cuando sus recaudos no se corresponden con las exigencias legales. La personalidad de las entidades es pues un concepto relativo y en ello se distingue de la personalidad de los seres humanos (Rivera Julio C., "Instituciones de Derecho Privado", Abeledo Perrot, Buenos Aires, 1994, T. II, p. 195)</w:t>
      </w:r>
    </w:p>
    <w:p w14:paraId="1875094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Sin embargo, este extremo excepcional que conduce a la desestimación de la personalidad dentro del marco prescripto por el art. 144 del Código Civil y Comercial no se ha cumplido en autos.</w:t>
      </w:r>
    </w:p>
    <w:p w14:paraId="5CF1647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Consecuentemente propongo al Acuerdo desestimar el agravio en estudio y confirmar este aspecto de la sentencia apelada.</w:t>
      </w:r>
    </w:p>
    <w:p w14:paraId="33A75516"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VII.</w:t>
      </w:r>
      <w:r w:rsidRPr="003F4DA9">
        <w:rPr>
          <w:rFonts w:ascii="Times New Roman" w:hAnsi="Times New Roman" w:cs="Times New Roman"/>
          <w:sz w:val="27"/>
          <w:szCs w:val="27"/>
        </w:rPr>
        <w:tab/>
        <w:t>Responsabilidad de la "Obra Social del Personal de Industrias Químicas y Petroquímicas".</w:t>
      </w:r>
    </w:p>
    <w:p w14:paraId="3578078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Se agravia la obra social demandada de la responsabilidad que se le atribuyo en la sentencia, alegando, que "Mileniun Salud SA" era la titular de la explotación del sanatorio 24 de </w:t>
      </w:r>
      <w:proofErr w:type="gramStart"/>
      <w:r w:rsidRPr="003F4DA9">
        <w:rPr>
          <w:rFonts w:ascii="Times New Roman" w:hAnsi="Times New Roman" w:cs="Times New Roman"/>
          <w:sz w:val="27"/>
          <w:szCs w:val="27"/>
        </w:rPr>
        <w:t>Septiembre</w:t>
      </w:r>
      <w:proofErr w:type="gramEnd"/>
      <w:r w:rsidRPr="003F4DA9">
        <w:rPr>
          <w:rFonts w:ascii="Times New Roman" w:hAnsi="Times New Roman" w:cs="Times New Roman"/>
          <w:sz w:val="27"/>
          <w:szCs w:val="27"/>
        </w:rPr>
        <w:t>, siendo su propietario el sindicato codemandado.</w:t>
      </w:r>
    </w:p>
    <w:p w14:paraId="58C4C9E3"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Asimismo, sostiene que el Sr. B. decidió concurrir a la guardia del nosocomio administrado por Millennium Salud S.A. por su exclusiva decisión y voluntad, que su parte no le indico ni le exigió al Sr. B. que fuera a ese establecimiento, pudiendo haberlo hecho a un número significativo de otros lugares, con idénticas prestaciones y adelantos técnicos.</w:t>
      </w:r>
    </w:p>
    <w:p w14:paraId="1081E42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En cuanto a las obras sociales y empresas de medicina prepaga corresponde señalar que tienen frente a sus asociados/afiliados, un deber de obligación tacita de seguridad en relación con la eficiencia de la prestación médica, así como también en cuanto a la integridad del paciente. Es decir, sobre estas pesa una obligación de seguridad, de carácter tacita y accesoria en los términos de los arts.512 y 902, del Código Civil. (conf. TRIGO REPRESAS- LOPEZ MESA, ob. cit., pág. 1286; </w:t>
      </w:r>
      <w:proofErr w:type="spellStart"/>
      <w:r w:rsidRPr="003F4DA9">
        <w:rPr>
          <w:rFonts w:ascii="Times New Roman" w:hAnsi="Times New Roman" w:cs="Times New Roman"/>
          <w:sz w:val="27"/>
          <w:szCs w:val="27"/>
        </w:rPr>
        <w:t>Conf</w:t>
      </w:r>
      <w:proofErr w:type="spellEnd"/>
      <w:r w:rsidRPr="003F4DA9">
        <w:rPr>
          <w:rFonts w:ascii="Times New Roman" w:hAnsi="Times New Roman" w:cs="Times New Roman"/>
          <w:sz w:val="27"/>
          <w:szCs w:val="27"/>
        </w:rPr>
        <w:t xml:space="preserve"> CNCiv., Sala "J", 9/9/2021Expte. N° 5120/2018 "G., J. R. c/ Galeno Argentina S.A. s/ Danos y perjuicios").</w:t>
      </w:r>
    </w:p>
    <w:p w14:paraId="6219979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Ese deber de seguridad, encuentra su fundamento último en el principio de la buena fe contractual establecido por el artículo 961 del CCyCN, base de la mutua confianza que han de inspirarse recíprocamente los contratantes. Esta confianza, en lo que atañe al paciente, ha de consistir en su creencia de que el cuidado y la previsión de la otra parte lo pondrán al resguardo de los eventuales danos que pudiera ocasionar a su persona la ejecución del contrato; tanto más cuando se trata en la especie de conductas que han de cumplirse, justamente, en directa relación a su cuerpo y a su salud (Conf. CNCiv. Sala H, "M. G. c/MCBA. y otro", del 21/11/00, Rev. La Ley del 30/8/01).</w:t>
      </w:r>
    </w:p>
    <w:p w14:paraId="0AD927E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tal sentido se ha dicho que la responsabilidad emergente de la relación médico-paciente cubre no solo al médico que interviene en la asistencia del paciente sino, además, a sus auxiliares y también a las instituciones en las que se presta el servicio y a aquellos que contratan los servicios de un sanatorio para la atención de sus afiliados, ya sea encuadrando la responsabilidad de los organismos intermedios como una estipulación a favor de terceros o bien como obligación de garantía propia del contrato de asistencia médica (conf. CNCiv. Sala D, febrero 16/1984, LL.to.1984-C, 586, fallo 83.220).</w:t>
      </w:r>
    </w:p>
    <w:p w14:paraId="47DD0E5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Tanto las obras sociales como las empresas de medicina prepaga, al tener a su cargo el específico deber de prestar asistencia médica a sus afiliados, deben responder por su incumplimiento sin que interese que para la ejecución de tal prestación haya tenido a su vez que contratar con terceros, lo que queda jurídicamente emplazado en la estructura obligacional con su afiliado, ya que a este le resulta en principio indiferente que su deudor cumpla por sí mismo o valiéndose de otras personas, bastándose con obtener la satisfacción de su acreencia (conf. Bustamante Alsina, J., "Responsabilidad Civil de las Obras Sociales por Mala Praxis en la Atención Medica de un Beneficiario", La Ley, </w:t>
      </w:r>
      <w:r w:rsidRPr="003F4DA9">
        <w:rPr>
          <w:rFonts w:ascii="Times New Roman" w:hAnsi="Times New Roman" w:cs="Times New Roman"/>
          <w:sz w:val="27"/>
          <w:szCs w:val="27"/>
        </w:rPr>
        <w:lastRenderedPageBreak/>
        <w:t xml:space="preserve">1998-A, pág. 404 y ss.). (Conf. CNCiv., sala C, 25/3/2014, "Gómez Graciela Noemi C/ Márquez Gloria Nerina y otros s/ Danos y perjuicios"; ídem Sala "J", 7/2/2020 Expte N° 106407/2010 "S. S. A. y otro c/ Silver Cross América </w:t>
      </w:r>
      <w:proofErr w:type="spellStart"/>
      <w:r w:rsidRPr="003F4DA9">
        <w:rPr>
          <w:rFonts w:ascii="Times New Roman" w:hAnsi="Times New Roman" w:cs="Times New Roman"/>
          <w:sz w:val="27"/>
          <w:szCs w:val="27"/>
        </w:rPr>
        <w:t>Inc</w:t>
      </w:r>
      <w:proofErr w:type="spellEnd"/>
      <w:r w:rsidRPr="003F4DA9">
        <w:rPr>
          <w:rFonts w:ascii="Times New Roman" w:hAnsi="Times New Roman" w:cs="Times New Roman"/>
          <w:sz w:val="27"/>
          <w:szCs w:val="27"/>
        </w:rPr>
        <w:t xml:space="preserve"> S.A. y otros s/ daños y Perjuicios").</w:t>
      </w:r>
    </w:p>
    <w:p w14:paraId="067C847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Las referidas entidades son deudoras de una obligación asistencial asumida frente al afiliado a través de un vínculo de naturaleza contractual, de modo que quien promete en virtud de un contrato el servicio de salud debe cumplirlo, ya este previsto que lo haga por si o por terceros (conf. </w:t>
      </w:r>
      <w:proofErr w:type="spellStart"/>
      <w:r w:rsidRPr="003F4DA9">
        <w:rPr>
          <w:rFonts w:ascii="Times New Roman" w:hAnsi="Times New Roman" w:cs="Times New Roman"/>
          <w:sz w:val="27"/>
          <w:szCs w:val="27"/>
        </w:rPr>
        <w:t>Mosset</w:t>
      </w:r>
      <w:proofErr w:type="spellEnd"/>
      <w:r w:rsidRPr="003F4DA9">
        <w:rPr>
          <w:rFonts w:ascii="Times New Roman" w:hAnsi="Times New Roman" w:cs="Times New Roman"/>
          <w:sz w:val="27"/>
          <w:szCs w:val="27"/>
        </w:rPr>
        <w:t xml:space="preserve"> Iturraspe, J., "Responsabilidad Civil del médico", Buenos Aires 1985, p. 114). Debe responder por el incumplimiento de la prestación de salud a su cargo que delego en determinados profesionales. Al comprometerse a prestar asistencia a sus afiliados a través de los médicos o los entes sanatoriales que proporciona, y no de otros, es responsable por el servicio que estos presten, de modo que, si obran con culpa o negligencia, deben satisfacer al paciente abonando los danos y perjuicios que tal actitud le haya ocasionado. Además, debe prestar el debido amparo a sus afiliados, mediante un adecuado control y vigilancia (conf. Lorenzetti, R.L., "La Empresa Medica", pág. 99 y jurisprudencia allí citada; Bustamante Alsina, J., "Teoría General de la Responsabilidad Civil", pág. 539).</w:t>
      </w:r>
    </w:p>
    <w:p w14:paraId="71F18C2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Además, el ejercicio de ese contralor y vigilancia debe ser severo, pues solo de ese modo cumplirá diligentemente con su obligación de prestar el debido amparo a los afiliados. Garantizar significa afianzar un resultado concreto y no una actividad meramente diligente, por lo que el responsable solo podrá excusarse acreditando la concurrencia de una causa extraña: culpa de la víctima o de un tercero por el que no deba responder o el casus (conf. </w:t>
      </w:r>
      <w:proofErr w:type="spellStart"/>
      <w:r w:rsidRPr="003F4DA9">
        <w:rPr>
          <w:rFonts w:ascii="Times New Roman" w:hAnsi="Times New Roman" w:cs="Times New Roman"/>
          <w:sz w:val="27"/>
          <w:szCs w:val="27"/>
        </w:rPr>
        <w:t>Bueres</w:t>
      </w:r>
      <w:proofErr w:type="spellEnd"/>
      <w:r w:rsidRPr="003F4DA9">
        <w:rPr>
          <w:rFonts w:ascii="Times New Roman" w:hAnsi="Times New Roman" w:cs="Times New Roman"/>
          <w:sz w:val="27"/>
          <w:szCs w:val="27"/>
        </w:rPr>
        <w:t xml:space="preserve">, A., ob. cit., p. 386/387 texto y nota 39, p. 389) y no puede transferir la responsabilidad patrimonial inherente a la atención de sus beneficiados, pues ello importaría una contradicción con el fin propuesto por el legislador al concebir el Sistema del Seguro Nacional de Salud (Conf. </w:t>
      </w:r>
      <w:proofErr w:type="spellStart"/>
      <w:r w:rsidRPr="003F4DA9">
        <w:rPr>
          <w:rFonts w:ascii="Times New Roman" w:hAnsi="Times New Roman" w:cs="Times New Roman"/>
          <w:sz w:val="27"/>
          <w:szCs w:val="27"/>
        </w:rPr>
        <w:t>CNCom</w:t>
      </w:r>
      <w:proofErr w:type="spellEnd"/>
      <w:r w:rsidRPr="003F4DA9">
        <w:rPr>
          <w:rFonts w:ascii="Times New Roman" w:hAnsi="Times New Roman" w:cs="Times New Roman"/>
          <w:sz w:val="27"/>
          <w:szCs w:val="27"/>
        </w:rPr>
        <w:t>., Sala B, 23/03/2006, RCyS 2006-VIII, 105; ídem CNCiv. Sala G, 11/6/2012 " G. R. c/ J. J. D. y otros s/ danos y perjuicios" MJ-JU-M-73024-AR | MJJ73024 | MJJ73024; ídem id, esta Sala, 31/8/2020, Expte. N° 55866/2.013 "Braga Graciela Dora c/ Centro de Enfermedades Respiratorias Infantiles (CERI) y otros s/ danos y perjuicios").</w:t>
      </w:r>
    </w:p>
    <w:p w14:paraId="5A9BDC8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síntesis, teniendo en cuenta que en la especie no se halla controvertida la conclusión a la que arribo la distinguida colega de primera instancia en lo concerniente a la responsabilidad médica, propongo al Acuerdo desestimar los agravios vertidos y confirmar la sentencia apelada en cuanto determina la responsabilidad concurrente de la obra social codemandada en el presente juicio.</w:t>
      </w:r>
    </w:p>
    <w:p w14:paraId="286952F6"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VIII.</w:t>
      </w:r>
      <w:r w:rsidRPr="003F4DA9">
        <w:rPr>
          <w:rFonts w:ascii="Times New Roman" w:hAnsi="Times New Roman" w:cs="Times New Roman"/>
          <w:sz w:val="27"/>
          <w:szCs w:val="27"/>
        </w:rPr>
        <w:tab/>
        <w:t>Rubros indemnizatorios.</w:t>
      </w:r>
    </w:p>
    <w:p w14:paraId="6BA0684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w:t>
      </w:r>
      <w:r w:rsidRPr="003F4DA9">
        <w:rPr>
          <w:rFonts w:ascii="Times New Roman" w:hAnsi="Times New Roman" w:cs="Times New Roman"/>
          <w:sz w:val="27"/>
          <w:szCs w:val="27"/>
        </w:rPr>
        <w:tab/>
        <w:t xml:space="preserve">Incapacidad psicofísica sobreviniente del coactor R. V. </w:t>
      </w:r>
      <w:proofErr w:type="gramStart"/>
      <w:r w:rsidRPr="003F4DA9">
        <w:rPr>
          <w:rFonts w:ascii="Times New Roman" w:hAnsi="Times New Roman" w:cs="Times New Roman"/>
          <w:sz w:val="27"/>
          <w:szCs w:val="27"/>
        </w:rPr>
        <w:t>B..</w:t>
      </w:r>
      <w:proofErr w:type="gramEnd"/>
    </w:p>
    <w:p w14:paraId="03CC6AF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Se agravia la Sra. Defensora de Menores e Incapaces de Cámara por considerar exiguo el importe indemnizatorio fijado a favor del coactor R. V. B. en concepto de "incapacidad psicofísica sobreviniente" ($27.400.000).</w:t>
      </w:r>
    </w:p>
    <w:p w14:paraId="543162F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La protección a la integridad de las personas y el derecho a la reparación integral se encuentra respaldada en tratados internacionales que integran el sistema constitucional en función del art. 75 inc. 22 de la Constitución Nacional, entre las cuales podemos citar al art. 21 p. 2 de la Convención Americana sobre Derechos Humanos, al expresar que ninguna persona puede ser privada de sus bienes excepto median- te el pago de indemnización justa. Asimismo, el art. 5 del mismo cuerpo normativo, de jerarquía constitucional, ampara el derecho a la integridad personal al expresar que toda persona tiene derecho a que se respete su integridad, física, psíquica y moral (Bidart Campos, "Manual de la Constitución Reformada" </w:t>
      </w:r>
      <w:proofErr w:type="spellStart"/>
      <w:r w:rsidRPr="003F4DA9">
        <w:rPr>
          <w:rFonts w:ascii="Times New Roman" w:hAnsi="Times New Roman" w:cs="Times New Roman"/>
          <w:sz w:val="27"/>
          <w:szCs w:val="27"/>
        </w:rPr>
        <w:t>t°</w:t>
      </w:r>
      <w:proofErr w:type="spellEnd"/>
      <w:r w:rsidRPr="003F4DA9">
        <w:rPr>
          <w:rFonts w:ascii="Times New Roman" w:hAnsi="Times New Roman" w:cs="Times New Roman"/>
          <w:sz w:val="27"/>
          <w:szCs w:val="27"/>
        </w:rPr>
        <w:t xml:space="preserve"> II, pág. 110, Ed. </w:t>
      </w:r>
      <w:proofErr w:type="spellStart"/>
      <w:r w:rsidRPr="003F4DA9">
        <w:rPr>
          <w:rFonts w:ascii="Times New Roman" w:hAnsi="Times New Roman" w:cs="Times New Roman"/>
          <w:sz w:val="27"/>
          <w:szCs w:val="27"/>
        </w:rPr>
        <w:t>Ediar</w:t>
      </w:r>
      <w:proofErr w:type="spellEnd"/>
      <w:r w:rsidRPr="003F4DA9">
        <w:rPr>
          <w:rFonts w:ascii="Times New Roman" w:hAnsi="Times New Roman" w:cs="Times New Roman"/>
          <w:sz w:val="27"/>
          <w:szCs w:val="27"/>
        </w:rPr>
        <w:t>). En este contexto convencional, el derecho al resarcimiento y a la reparación del daño también se encuentra incluido entre los derechos implícitos (art. 33 CN) especialmente si se tiene en cuenta que otras normas como el art. 17 y el 41 CN refieren casos específicos (</w:t>
      </w:r>
      <w:proofErr w:type="spellStart"/>
      <w:r w:rsidRPr="003F4DA9">
        <w:rPr>
          <w:rFonts w:ascii="Times New Roman" w:hAnsi="Times New Roman" w:cs="Times New Roman"/>
          <w:sz w:val="27"/>
          <w:szCs w:val="27"/>
        </w:rPr>
        <w:t>C.</w:t>
      </w:r>
      <w:proofErr w:type="gramStart"/>
      <w:r w:rsidRPr="003F4DA9">
        <w:rPr>
          <w:rFonts w:ascii="Times New Roman" w:hAnsi="Times New Roman" w:cs="Times New Roman"/>
          <w:sz w:val="27"/>
          <w:szCs w:val="27"/>
        </w:rPr>
        <w:t>N.Civ</w:t>
      </w:r>
      <w:proofErr w:type="spellEnd"/>
      <w:proofErr w:type="gramEnd"/>
      <w:r w:rsidRPr="003F4DA9">
        <w:rPr>
          <w:rFonts w:ascii="Times New Roman" w:hAnsi="Times New Roman" w:cs="Times New Roman"/>
          <w:sz w:val="27"/>
          <w:szCs w:val="27"/>
        </w:rPr>
        <w:t xml:space="preserve">., Sala L, 15/10/2009, "L., S. y otro c. Hospital Británico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xml:space="preserve">/danos y perjuicios", E. D. 09/02/2010, N° 12.439, ídem , Sala "J", 10/8/2010 Expte. N° 69.941/2005 "Gutiérrez, Luis Alfredo y otro c/ </w:t>
      </w:r>
      <w:proofErr w:type="spellStart"/>
      <w:r w:rsidRPr="003F4DA9">
        <w:rPr>
          <w:rFonts w:ascii="Times New Roman" w:hAnsi="Times New Roman" w:cs="Times New Roman"/>
          <w:sz w:val="27"/>
          <w:szCs w:val="27"/>
        </w:rPr>
        <w:t>Luciani</w:t>
      </w:r>
      <w:proofErr w:type="spellEnd"/>
      <w:r w:rsidRPr="003F4DA9">
        <w:rPr>
          <w:rFonts w:ascii="Times New Roman" w:hAnsi="Times New Roman" w:cs="Times New Roman"/>
          <w:sz w:val="27"/>
          <w:szCs w:val="27"/>
        </w:rPr>
        <w:t xml:space="preserve">, </w:t>
      </w:r>
      <w:proofErr w:type="spellStart"/>
      <w:r w:rsidRPr="003F4DA9">
        <w:rPr>
          <w:rFonts w:ascii="Times New Roman" w:hAnsi="Times New Roman" w:cs="Times New Roman"/>
          <w:sz w:val="27"/>
          <w:szCs w:val="27"/>
        </w:rPr>
        <w:t>D.a</w:t>
      </w:r>
      <w:proofErr w:type="spellEnd"/>
      <w:r w:rsidRPr="003F4DA9">
        <w:rPr>
          <w:rFonts w:ascii="Times New Roman" w:hAnsi="Times New Roman" w:cs="Times New Roman"/>
          <w:sz w:val="27"/>
          <w:szCs w:val="27"/>
        </w:rPr>
        <w:t xml:space="preserve"> </w:t>
      </w:r>
      <w:proofErr w:type="spellStart"/>
      <w:r w:rsidRPr="003F4DA9">
        <w:rPr>
          <w:rFonts w:ascii="Times New Roman" w:hAnsi="Times New Roman" w:cs="Times New Roman"/>
          <w:sz w:val="27"/>
          <w:szCs w:val="27"/>
        </w:rPr>
        <w:t>Cyntia</w:t>
      </w:r>
      <w:proofErr w:type="spellEnd"/>
      <w:r w:rsidRPr="003F4DA9">
        <w:rPr>
          <w:rFonts w:ascii="Times New Roman" w:hAnsi="Times New Roman" w:cs="Times New Roman"/>
          <w:sz w:val="27"/>
          <w:szCs w:val="27"/>
        </w:rPr>
        <w:t xml:space="preserve"> y otros s/ danos y perjuicios").</w:t>
      </w:r>
    </w:p>
    <w:p w14:paraId="05AEB5FD"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Estos principios fueron receptados en el nuevo ordenamiento sobre la base de la doctrina y jurisprudencia ya elaboradas y</w:t>
      </w:r>
    </w:p>
    <w:p w14:paraId="1A8861F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teniendo en mira, precisamente, la incorporación de las normas de rango constitucional y convencional.</w:t>
      </w:r>
    </w:p>
    <w:p w14:paraId="7D23C76D"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Así, el art. 1737 da una definición genérica y </w:t>
      </w:r>
      <w:proofErr w:type="spellStart"/>
      <w:r w:rsidRPr="003F4DA9">
        <w:rPr>
          <w:rFonts w:ascii="Times New Roman" w:hAnsi="Times New Roman" w:cs="Times New Roman"/>
          <w:sz w:val="27"/>
          <w:szCs w:val="27"/>
        </w:rPr>
        <w:t>abarcativa</w:t>
      </w:r>
      <w:proofErr w:type="spellEnd"/>
      <w:r w:rsidRPr="003F4DA9">
        <w:rPr>
          <w:rFonts w:ascii="Times New Roman" w:hAnsi="Times New Roman" w:cs="Times New Roman"/>
          <w:sz w:val="27"/>
          <w:szCs w:val="27"/>
        </w:rPr>
        <w:t xml:space="preserve"> del concepto de daño: hay daño cuando se lesiona un derecho o un in- teres no reprobado por el ordenamiento jurídico, que tenga por objeto la persona, el patrimonio, o un derecho de incidencia colectiva.</w:t>
      </w:r>
    </w:p>
    <w:p w14:paraId="60A69A5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particular, el art. 1738 determina que la indemnización comprende la pérdida o disminución del patrimonio de la víctima, el lucro cesante en el beneficio económico esperado de acuerdo a la probabilidad objetiva de su obtención y la perdida de chances. Incluye especialmente las consecuencias de la violación de los derechos personalísimos de la víctima, de su integridad personal, su salud psicofísica, sus afecciones espirituales legitimas y las que resultan de la interferencia en su proyecto de vida.</w:t>
      </w:r>
    </w:p>
    <w:p w14:paraId="727C7557"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Específicamente en relación con el principio de resarcimiento integral, el art. 1740 Cod. Civ. y Com. establece que la reparación del daño debe ser plena, restituyendo la situación del damnificado al estado anterior al hecho dañoso, sea por el pago en dinero o en especie.</w:t>
      </w:r>
    </w:p>
    <w:p w14:paraId="2BAE741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La incapacidad sobreviniente está representada por las secuelas o disminución física o psíquica que queda luego de completado el periodo de recuperación o restablecimiento; produciéndose entonces para la misma un quebranto patrimonial indirecto, derivado de las limitaciones que presenta al reanudar sus actividades habituales y al establecerse su imposibilidad -total o parcial- de asumirlas y cumplirlas adecuadamente. La incapacidad económica -o </w:t>
      </w:r>
      <w:proofErr w:type="spellStart"/>
      <w:r w:rsidRPr="003F4DA9">
        <w:rPr>
          <w:rFonts w:ascii="Times New Roman" w:hAnsi="Times New Roman" w:cs="Times New Roman"/>
          <w:sz w:val="27"/>
          <w:szCs w:val="27"/>
        </w:rPr>
        <w:t>laborativa</w:t>
      </w:r>
      <w:proofErr w:type="spellEnd"/>
      <w:r w:rsidRPr="003F4DA9">
        <w:rPr>
          <w:rFonts w:ascii="Times New Roman" w:hAnsi="Times New Roman" w:cs="Times New Roman"/>
          <w:sz w:val="27"/>
          <w:szCs w:val="27"/>
        </w:rPr>
        <w:t xml:space="preserve">- sobreviniente se refiere a una merma de aptitudes que sufre el individuo para obtener lucros futuros, sea en las tareas que habitualmente suele desempeñar o en otras, es decir, una chance frustrada de percepción de ganancias..." (Trigo Represas, </w:t>
      </w:r>
      <w:proofErr w:type="spellStart"/>
      <w:r w:rsidRPr="003F4DA9">
        <w:rPr>
          <w:rFonts w:ascii="Times New Roman" w:hAnsi="Times New Roman" w:cs="Times New Roman"/>
          <w:sz w:val="27"/>
          <w:szCs w:val="27"/>
        </w:rPr>
        <w:t>Felix</w:t>
      </w:r>
      <w:proofErr w:type="spellEnd"/>
      <w:r w:rsidRPr="003F4DA9">
        <w:rPr>
          <w:rFonts w:ascii="Times New Roman" w:hAnsi="Times New Roman" w:cs="Times New Roman"/>
          <w:sz w:val="27"/>
          <w:szCs w:val="27"/>
        </w:rPr>
        <w:t xml:space="preserve"> A. - </w:t>
      </w:r>
      <w:proofErr w:type="spellStart"/>
      <w:r w:rsidRPr="003F4DA9">
        <w:rPr>
          <w:rFonts w:ascii="Times New Roman" w:hAnsi="Times New Roman" w:cs="Times New Roman"/>
          <w:sz w:val="27"/>
          <w:szCs w:val="27"/>
        </w:rPr>
        <w:t>Lopez</w:t>
      </w:r>
      <w:proofErr w:type="spellEnd"/>
      <w:r w:rsidRPr="003F4DA9">
        <w:rPr>
          <w:rFonts w:ascii="Times New Roman" w:hAnsi="Times New Roman" w:cs="Times New Roman"/>
          <w:sz w:val="27"/>
          <w:szCs w:val="27"/>
        </w:rPr>
        <w:t xml:space="preserve"> Mesa, Marcelo J.;</w:t>
      </w:r>
    </w:p>
    <w:p w14:paraId="5EA9000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"Tratado de la responsabilidad civil", La Ley, Bs. As., 2006, vol. "Cuantificación del Daño", p. 231 y ss.).</w:t>
      </w:r>
    </w:p>
    <w:p w14:paraId="14740789"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Tal el criterio de nuestra Corte Suprema, que ha sostenido que cuando la víctima resulta disminuida en sus aptitudes físicas o psíquicas en forma permanente, esta incapacidad debe ser objeto de reparación, al margen de lo que pueda corresponder por el menoscabo de la actividad productiva y por el daño moral, pues la integridad física tiene por sí misma un valor indemnizable y su lesión comprende, además de aquella actividad económica, diversos aspectos de la personalidad que hacen al ámbito doméstico, cultural o social con la consiguiente frustración del desarrollo pleno de la vida (C.S.J.N. Fallos: 308:1109; 312:2412; 315:2834; 318:1715; ídem., 08/04/2008, "</w:t>
      </w:r>
      <w:proofErr w:type="spellStart"/>
      <w:r w:rsidRPr="003F4DA9">
        <w:rPr>
          <w:rFonts w:ascii="Times New Roman" w:hAnsi="Times New Roman" w:cs="Times New Roman"/>
          <w:sz w:val="27"/>
          <w:szCs w:val="27"/>
        </w:rPr>
        <w:t>Arostegui</w:t>
      </w:r>
      <w:proofErr w:type="spellEnd"/>
      <w:r w:rsidRPr="003F4DA9">
        <w:rPr>
          <w:rFonts w:ascii="Times New Roman" w:hAnsi="Times New Roman" w:cs="Times New Roman"/>
          <w:sz w:val="27"/>
          <w:szCs w:val="27"/>
        </w:rPr>
        <w:t xml:space="preserve"> Pablo M. c. </w:t>
      </w:r>
      <w:proofErr w:type="spellStart"/>
      <w:r w:rsidRPr="003F4DA9">
        <w:rPr>
          <w:rFonts w:ascii="Times New Roman" w:hAnsi="Times New Roman" w:cs="Times New Roman"/>
          <w:sz w:val="27"/>
          <w:szCs w:val="27"/>
        </w:rPr>
        <w:t>Peluso</w:t>
      </w:r>
      <w:proofErr w:type="spellEnd"/>
      <w:r w:rsidRPr="003F4DA9">
        <w:rPr>
          <w:rFonts w:ascii="Times New Roman" w:hAnsi="Times New Roman" w:cs="Times New Roman"/>
          <w:sz w:val="27"/>
          <w:szCs w:val="27"/>
        </w:rPr>
        <w:t xml:space="preserve"> y </w:t>
      </w:r>
      <w:proofErr w:type="spellStart"/>
      <w:r w:rsidRPr="003F4DA9">
        <w:rPr>
          <w:rFonts w:ascii="Times New Roman" w:hAnsi="Times New Roman" w:cs="Times New Roman"/>
          <w:sz w:val="27"/>
          <w:szCs w:val="27"/>
        </w:rPr>
        <w:t>Compama</w:t>
      </w:r>
      <w:proofErr w:type="spellEnd"/>
      <w:r w:rsidRPr="003F4DA9">
        <w:rPr>
          <w:rFonts w:ascii="Times New Roman" w:hAnsi="Times New Roman" w:cs="Times New Roman"/>
          <w:sz w:val="27"/>
          <w:szCs w:val="27"/>
        </w:rPr>
        <w:t>", L. L. 2008- C, 247).</w:t>
      </w:r>
    </w:p>
    <w:p w14:paraId="4251BC3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relación al daño psíquico no constituye un daño auto- nomo, sino un aspecto a considerar dentro del rubro incapacidad sobreviniente, pues configura una disminución de aptitudes con repercusión en el patrimonio y la vida de relación del damnificado (Conf. CNCiv. Sala "J", 19/4/2021 Expte N° 52884/2014, "Sassi, Noel Hum-</w:t>
      </w:r>
      <w:proofErr w:type="spellStart"/>
      <w:r w:rsidRPr="003F4DA9">
        <w:rPr>
          <w:rFonts w:ascii="Times New Roman" w:hAnsi="Times New Roman" w:cs="Times New Roman"/>
          <w:sz w:val="27"/>
          <w:szCs w:val="27"/>
        </w:rPr>
        <w:t>berto</w:t>
      </w:r>
      <w:proofErr w:type="spellEnd"/>
      <w:r w:rsidRPr="003F4DA9">
        <w:rPr>
          <w:rFonts w:ascii="Times New Roman" w:hAnsi="Times New Roman" w:cs="Times New Roman"/>
          <w:sz w:val="27"/>
          <w:szCs w:val="27"/>
        </w:rPr>
        <w:t xml:space="preserve"> c/ Club Atlético River Plate y otros s/ Daños y Perjuicios"; ídem, 30/8/2021, Expte N° 91711/2017 "Bravo Rubén Ariel c/</w:t>
      </w:r>
      <w:proofErr w:type="spellStart"/>
      <w:r w:rsidRPr="003F4DA9">
        <w:rPr>
          <w:rFonts w:ascii="Times New Roman" w:hAnsi="Times New Roman" w:cs="Times New Roman"/>
          <w:sz w:val="27"/>
          <w:szCs w:val="27"/>
        </w:rPr>
        <w:t>Viruel</w:t>
      </w:r>
      <w:proofErr w:type="spellEnd"/>
      <w:r w:rsidRPr="003F4DA9">
        <w:rPr>
          <w:rFonts w:ascii="Times New Roman" w:hAnsi="Times New Roman" w:cs="Times New Roman"/>
          <w:sz w:val="27"/>
          <w:szCs w:val="27"/>
        </w:rPr>
        <w:t xml:space="preserve"> Cristian Fabian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xml:space="preserve">/ danos y perjuicios"; ídem id, 25/10/2021, Expte N° 14701/2016 "Latorre Yapo Erik Ernesto c/ Mosconi </w:t>
      </w:r>
      <w:proofErr w:type="spellStart"/>
      <w:r w:rsidRPr="003F4DA9">
        <w:rPr>
          <w:rFonts w:ascii="Times New Roman" w:hAnsi="Times New Roman" w:cs="Times New Roman"/>
          <w:sz w:val="27"/>
          <w:szCs w:val="27"/>
        </w:rPr>
        <w:t>Elisabet</w:t>
      </w:r>
      <w:proofErr w:type="spellEnd"/>
      <w:r w:rsidRPr="003F4DA9">
        <w:rPr>
          <w:rFonts w:ascii="Times New Roman" w:hAnsi="Times New Roman" w:cs="Times New Roman"/>
          <w:sz w:val="27"/>
          <w:szCs w:val="27"/>
        </w:rPr>
        <w:t xml:space="preserve"> Josefina s/ danos y perjuicios"; entre otros).</w:t>
      </w:r>
    </w:p>
    <w:p w14:paraId="54AE01E3"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Atento que, en síntesis, la incapacidad indemnizable es tributaria de la cronicidad, en tanto que el sufrimiento psíquico normal (no incapacitante), que no ha ocasionado un desmedro de las aptitudes mentales previas, si es detectado e informado por el perito, es uno de los elementos que el juez podrá </w:t>
      </w:r>
      <w:r w:rsidRPr="003F4DA9">
        <w:rPr>
          <w:rFonts w:ascii="Times New Roman" w:hAnsi="Times New Roman" w:cs="Times New Roman"/>
          <w:sz w:val="27"/>
          <w:szCs w:val="27"/>
        </w:rPr>
        <w:lastRenderedPageBreak/>
        <w:t>incluir en el ámbito del daño moral (Conf. CNCiv., Sala "J", 19/4/2021, Expte N° 58884/2014, "Sassi, Noel Humberto c/ Club Atlético River Plate y otros s/ Danos y Perjuicios"; Ídem, 3/5/2021 Expte N° 89109/2013, "Cardozo Hilda Nélida c/ Ferrovías S.A.C. s/ Danos y Perjuicios"; ídem id, 3/9/2021, Expte N° 2215/2010 "González Sebastián Eduardo c/ Dodds Hernán Darío s/ daños y Perjuicios"; entre muchos otros).</w:t>
      </w:r>
    </w:p>
    <w:p w14:paraId="328B49F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Cabe recordar que Nuestro Máximo Tribunal ha señalado que, aunque los porcentajes de incapacidad estimados por los peritos médicos constituyen un elemento importante a considerar, no con- forman una pauta estricta que el juzgador deba seguir inevitablemente, ya que no solo cabe justipreciar el aspecto laboral sino también las demás consecuencias que afectan a la víctima. (C.S.J.N., Fallos: 310:1826; ídem., 11/06/2003, "Cebollero, Antonio Rafael y otros c/ Córdoba, Provincia de", Fallos: 326:1910).</w:t>
      </w:r>
    </w:p>
    <w:p w14:paraId="24A257A9"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 decir que, para establecer el quantum de la indemnización por incapacidad sobreviniente, debe considerarse la incidencia del hecho dañoso, cualquiera sea su naturaleza, en relación con todos los aspectos de la personalidad de la víctima, tanto en lo laboral como en lo social, en lo psíquico como en lo físico.</w:t>
      </w:r>
    </w:p>
    <w:p w14:paraId="0309C5B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 los fines de establecer el monto que debe resarcirse por este concepto, deben tenerse en cuenta las condiciones personales de la víctima, así como las familiares y socio-económicas, sin que el grado de incapacidad comprobado científicamente por el perito medico traduzca, matemáticamente, una cierta cuantía indemnizatoria. Solo constituye un parámetro de aproximación económica que debe ser conjugado con las múltiples circunstancias vitales que contribuyen a definir razonablemente el monto de la reparación (Conf. Sala "J", 1/3/2021 Expte N° 14845/15 "Albornoz Hernán Carlos c/ Transportes Lope de Vega SA s/Danos y Perjuicios"; Ídem, 20/4/2021, Expte N° 15470/2016 "Ale Pezo Aurelia Concepción/ Sosa Pablo y otros s/ da- nos y Perjuicios"; ídem id, 13/8/2021, Expte. N° 70.112/2018, "Quiroga Mendiri, María Lidia c/ </w:t>
      </w:r>
      <w:proofErr w:type="spellStart"/>
      <w:r w:rsidRPr="003F4DA9">
        <w:rPr>
          <w:rFonts w:ascii="Times New Roman" w:hAnsi="Times New Roman" w:cs="Times New Roman"/>
          <w:sz w:val="27"/>
          <w:szCs w:val="27"/>
        </w:rPr>
        <w:t>Luchetti</w:t>
      </w:r>
      <w:proofErr w:type="spellEnd"/>
      <w:r w:rsidRPr="003F4DA9">
        <w:rPr>
          <w:rFonts w:ascii="Times New Roman" w:hAnsi="Times New Roman" w:cs="Times New Roman"/>
          <w:sz w:val="27"/>
          <w:szCs w:val="27"/>
        </w:rPr>
        <w:t>, Liliana Mónica y otros s/ Da- nos y Perjuicios"; entre otros).</w:t>
      </w:r>
    </w:p>
    <w:p w14:paraId="28F1BBD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En el mismo sentido, he sostenido que deben ponderarse las limitaciones que el damnificado padece en su desempeño laboral y social, teniendo en cuenta circunstancias particulares como su edad, condiciones socio-económicas, actividad laboral anterior, incidencia real de las lesiones en su actividad actual, etc. Por ende, lo que real- mente resulta de vital importancia es el modo en que las secuelas afectan a la víctima para desarrollar los diversos actos de la vida coti- diana, considerando tanto la faz laboral como la vida de relación del individuo, ya que la "indemnización en sede civil tiende a la </w:t>
      </w:r>
      <w:r w:rsidRPr="003F4DA9">
        <w:rPr>
          <w:rFonts w:ascii="Times New Roman" w:hAnsi="Times New Roman" w:cs="Times New Roman"/>
          <w:sz w:val="27"/>
          <w:szCs w:val="27"/>
        </w:rPr>
        <w:lastRenderedPageBreak/>
        <w:t>integralidad" (SCJM. 9/8/2010, "Leiva Rubén Darío en J° 81.963/31.663 Leiva Rubén D. C/ Monte-Negro Martínez Miguel Ángel P/ D. y P. S/ INC.").</w:t>
      </w:r>
    </w:p>
    <w:p w14:paraId="5CC0FFB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El perito medico designado en autos informo: "El Sr. B., en pleno estado de salud mental, presento un episodio de cólico renal que llevo a la detección de una litiasis renal derecha con </w:t>
      </w:r>
      <w:proofErr w:type="spellStart"/>
      <w:r w:rsidRPr="003F4DA9">
        <w:rPr>
          <w:rFonts w:ascii="Times New Roman" w:hAnsi="Times New Roman" w:cs="Times New Roman"/>
          <w:sz w:val="27"/>
          <w:szCs w:val="27"/>
        </w:rPr>
        <w:t>uronefrosis</w:t>
      </w:r>
      <w:proofErr w:type="spellEnd"/>
      <w:r w:rsidRPr="003F4DA9">
        <w:rPr>
          <w:rFonts w:ascii="Times New Roman" w:hAnsi="Times New Roman" w:cs="Times New Roman"/>
          <w:sz w:val="27"/>
          <w:szCs w:val="27"/>
        </w:rPr>
        <w:t xml:space="preserve"> y a una litiasis vesicular. En ese contexto, evaluado por las especialidades de urología y cirugía general, se le indico una intervención quirúrgica, a cargo de los dos cirujanos especialistas a fin de efectuarle, en un solo tiempo, una nefrectomía y colecistectomía. La intervención no pudo llevarse a cabo hasta el día de hoy, atento a que el actor sufrió en el quirófano, dos paros cardiorrespiratorios con severas lesiones neurológicas que le ocasionaron un estado de coma pro- fundo y motivaron su inmediato traslado a terapia intensiva. A los 10 días, luego de comprobarse por tomografías las severas lesiones que tema en su sistema nervioso central, fue derivado al </w:t>
      </w:r>
      <w:proofErr w:type="spellStart"/>
      <w:r w:rsidRPr="003F4DA9">
        <w:rPr>
          <w:rFonts w:ascii="Times New Roman" w:hAnsi="Times New Roman" w:cs="Times New Roman"/>
          <w:sz w:val="27"/>
          <w:szCs w:val="27"/>
        </w:rPr>
        <w:t>Htal</w:t>
      </w:r>
      <w:proofErr w:type="spellEnd"/>
      <w:r w:rsidRPr="003F4DA9">
        <w:rPr>
          <w:rFonts w:ascii="Times New Roman" w:hAnsi="Times New Roman" w:cs="Times New Roman"/>
          <w:sz w:val="27"/>
          <w:szCs w:val="27"/>
        </w:rPr>
        <w:t>. Fiorito, donde fue retrogradando su estado comatoso. Consolidadas sus secuelas neurológicas, comenzó la etapa de rehabilitación. Para ello fue trasladado desde el mencionado hospital a la clínica Santa Catalina. Allí pudo recuperar parcialmente su motricidad y algunas funciones neurológicas, pero no las cognitivas, por lo que fue declarado demente en juicio y, al momento actual, permanece internado en un instituto psiquiátrico en forma definitiva por ser peligroso para sí y para terceros" (fs. 1001 vta.).</w:t>
      </w:r>
    </w:p>
    <w:p w14:paraId="731E74E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Explico el profesional: "El cerebro es extremadamente sensible a la falta de oxígeno. Si esta es mayor a 5 minutos, las lesiones pueden considerarse irreversibles. Las células del SNC (neuronas) no se reproducen en otras nuevas. A mayor tiempo sin oxígeno, mayor el daño neurológico. Cuanto más precozmente se inician las maniobras de resucitación y el aporte de oxígeno, es proporcionalmente menor la instalación de las lesiones. Al producirse el paro cardiaco, la detección del mismo por parte del anestesiólogo y/o monitorista debería haber sido inmediata por los controles de alarmas que están bajo su supervisión" (fs. 1004).</w:t>
      </w:r>
    </w:p>
    <w:p w14:paraId="7276C96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Seguidamente sostuvo el experto que las secuelas neurológicas (demencia) que padece el Sr. B. "son consecuencia de la anoxia cerebral sufrida por los </w:t>
      </w:r>
      <w:proofErr w:type="gramStart"/>
      <w:r w:rsidRPr="003F4DA9">
        <w:rPr>
          <w:rFonts w:ascii="Times New Roman" w:hAnsi="Times New Roman" w:cs="Times New Roman"/>
          <w:sz w:val="27"/>
          <w:szCs w:val="27"/>
        </w:rPr>
        <w:t>PCR producidos</w:t>
      </w:r>
      <w:proofErr w:type="gramEnd"/>
      <w:r w:rsidRPr="003F4DA9">
        <w:rPr>
          <w:rFonts w:ascii="Times New Roman" w:hAnsi="Times New Roman" w:cs="Times New Roman"/>
          <w:sz w:val="27"/>
          <w:szCs w:val="27"/>
        </w:rPr>
        <w:t xml:space="preserve"> en el quirófano" (fs. 1002 vta.).</w:t>
      </w:r>
    </w:p>
    <w:p w14:paraId="521A7E2A"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Afirmo el perito que el actor presenta una incapacidad total, permanente y definitiva del 100% (fs. 1003).</w:t>
      </w:r>
    </w:p>
    <w:p w14:paraId="5D66FF2D"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La circunstancia de que el dictamen no tenga carácter de prueba legal no importa que quien juzga pueda apartarse arbitraria- mente de la opinión fundada del idóneo, por lo que la desestimación de las conclusiones a las que arribara ha de ser razonable y motivada, siendo imprescindible contar con elementos de juicio que permitan concluir fehacientemente en el error o </w:t>
      </w:r>
      <w:r w:rsidRPr="003F4DA9">
        <w:rPr>
          <w:rFonts w:ascii="Times New Roman" w:hAnsi="Times New Roman" w:cs="Times New Roman"/>
          <w:sz w:val="27"/>
          <w:szCs w:val="27"/>
        </w:rPr>
        <w:lastRenderedPageBreak/>
        <w:t>inadecuado uso que el experto hubiera hecho de sus conocimientos científicos, de los que por su profesión o título habilitante ha de suponérselo dotado. (Conf. C. N. Civ., Sala "J", 06/07/2010, Expte. 93261/2007, "Godoy Muñoz, Pedro c/ Villegas, Víctor Hugo y otros s/ danos y perjuicios"; Ídem., 23/6/2010, Expte. N° 59.366/2004 "</w:t>
      </w:r>
      <w:proofErr w:type="spellStart"/>
      <w:r w:rsidRPr="003F4DA9">
        <w:rPr>
          <w:rFonts w:ascii="Times New Roman" w:hAnsi="Times New Roman" w:cs="Times New Roman"/>
          <w:sz w:val="27"/>
          <w:szCs w:val="27"/>
        </w:rPr>
        <w:t>Berdier</w:t>
      </w:r>
      <w:proofErr w:type="spellEnd"/>
      <w:r w:rsidRPr="003F4DA9">
        <w:rPr>
          <w:rFonts w:ascii="Times New Roman" w:hAnsi="Times New Roman" w:cs="Times New Roman"/>
          <w:sz w:val="27"/>
          <w:szCs w:val="27"/>
        </w:rPr>
        <w:t xml:space="preserve">, Tristán Marcelo c/ </w:t>
      </w:r>
      <w:proofErr w:type="spellStart"/>
      <w:r w:rsidRPr="003F4DA9">
        <w:rPr>
          <w:rFonts w:ascii="Times New Roman" w:hAnsi="Times New Roman" w:cs="Times New Roman"/>
          <w:sz w:val="27"/>
          <w:szCs w:val="27"/>
        </w:rPr>
        <w:t>Snitovsky</w:t>
      </w:r>
      <w:proofErr w:type="spellEnd"/>
      <w:r w:rsidRPr="003F4DA9">
        <w:rPr>
          <w:rFonts w:ascii="Times New Roman" w:hAnsi="Times New Roman" w:cs="Times New Roman"/>
          <w:sz w:val="27"/>
          <w:szCs w:val="27"/>
        </w:rPr>
        <w:t xml:space="preserve">, Luis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danos y perjuicios"; Ídem. Id., Expte N° 30165/2007, "</w:t>
      </w:r>
      <w:proofErr w:type="spellStart"/>
      <w:r w:rsidRPr="003F4DA9">
        <w:rPr>
          <w:rFonts w:ascii="Times New Roman" w:hAnsi="Times New Roman" w:cs="Times New Roman"/>
          <w:sz w:val="27"/>
          <w:szCs w:val="27"/>
        </w:rPr>
        <w:t>Ybalo</w:t>
      </w:r>
      <w:proofErr w:type="spellEnd"/>
      <w:r w:rsidRPr="003F4DA9">
        <w:rPr>
          <w:rFonts w:ascii="Times New Roman" w:hAnsi="Times New Roman" w:cs="Times New Roman"/>
          <w:sz w:val="27"/>
          <w:szCs w:val="27"/>
        </w:rPr>
        <w:t xml:space="preserve"> Oscar Rolando c/ La Primera de Grand Bourg</w:t>
      </w:r>
    </w:p>
    <w:p w14:paraId="53584D1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S.A. Línea 440 s/ Danos y Perjuicios"; Id </w:t>
      </w:r>
      <w:proofErr w:type="spellStart"/>
      <w:r w:rsidRPr="003F4DA9">
        <w:rPr>
          <w:rFonts w:ascii="Times New Roman" w:hAnsi="Times New Roman" w:cs="Times New Roman"/>
          <w:sz w:val="27"/>
          <w:szCs w:val="27"/>
        </w:rPr>
        <w:t>id</w:t>
      </w:r>
      <w:proofErr w:type="spellEnd"/>
      <w:r w:rsidRPr="003F4DA9">
        <w:rPr>
          <w:rFonts w:ascii="Times New Roman" w:hAnsi="Times New Roman" w:cs="Times New Roman"/>
          <w:sz w:val="27"/>
          <w:szCs w:val="27"/>
        </w:rPr>
        <w:t xml:space="preserve">, 16/12/2020, Expte N° 24788/2018 "Costilla Ramon Honorario y otro c/ Ruiz </w:t>
      </w:r>
      <w:proofErr w:type="spellStart"/>
      <w:r w:rsidRPr="003F4DA9">
        <w:rPr>
          <w:rFonts w:ascii="Times New Roman" w:hAnsi="Times New Roman" w:cs="Times New Roman"/>
          <w:sz w:val="27"/>
          <w:szCs w:val="27"/>
        </w:rPr>
        <w:t>Sebastian</w:t>
      </w:r>
      <w:proofErr w:type="spellEnd"/>
      <w:r w:rsidRPr="003F4DA9">
        <w:rPr>
          <w:rFonts w:ascii="Times New Roman" w:hAnsi="Times New Roman" w:cs="Times New Roman"/>
          <w:sz w:val="27"/>
          <w:szCs w:val="27"/>
        </w:rPr>
        <w:t xml:space="preserve"> s/ danos y perjuicios"; Id </w:t>
      </w:r>
      <w:proofErr w:type="spellStart"/>
      <w:r w:rsidRPr="003F4DA9">
        <w:rPr>
          <w:rFonts w:ascii="Times New Roman" w:hAnsi="Times New Roman" w:cs="Times New Roman"/>
          <w:sz w:val="27"/>
          <w:szCs w:val="27"/>
        </w:rPr>
        <w:t>id</w:t>
      </w:r>
      <w:proofErr w:type="spellEnd"/>
      <w:r w:rsidRPr="003F4DA9">
        <w:rPr>
          <w:rFonts w:ascii="Times New Roman" w:hAnsi="Times New Roman" w:cs="Times New Roman"/>
          <w:sz w:val="27"/>
          <w:szCs w:val="27"/>
        </w:rPr>
        <w:t xml:space="preserve">, 10/3/2021 Expte N°14.142/2018, "Aquino Saldivia A. Andrea c/ Gómez Ariel Alberto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danos y perjuicios"; entre otros muchos).</w:t>
      </w:r>
    </w:p>
    <w:p w14:paraId="7D92733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Nuestro Máximo Tribunal ha señalado que, aunque los porcentajes de incapacidad estimados por los peritos médicos constituyen un elemento importante a considerar, no conforman una pauta estricta que el juzgador deba seguir inevitablemente, ya que no solo cabe justipreciar el aspecto laboral sino también las demás consecuencias que afectan a la víctima. (C.S.J.N., Fallos: 310:1826; ídem., 11/06/2003, "Cebollero, Antonio Rafael y otros c/ Córdoba, Provincia de", Fallos: 326:1910).</w:t>
      </w:r>
    </w:p>
    <w:p w14:paraId="765A516D"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 decir que, para establecer el quantum de la indemnización por incapacidad sobreviniente, debe considerarse la incidencia del hecho dañoso, cualquiera sea su naturaleza, en relación con todos los aspectos de la personalidad de la víctima, tanto en lo laboral como en lo social, en lo psíquico como en lo físico.</w:t>
      </w:r>
    </w:p>
    <w:p w14:paraId="01F2C40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 los fines de establecer el monto que debe resarcirse por este concepto, deben tenerse en cuenta las condiciones personales de la víctima, así como las familiares y socio-económicas, sin que el grado de incapacidad comprobado científicamente por el perito médico, traduzca, matemáticamente, una cierta cuantía indemnizatoria. Solo constituye un parámetro de aproximación económica que debe ser conjugado con las múltiples circunstancias vitales que contribuyen a definir razonablemente el monto de la reparación.</w:t>
      </w:r>
    </w:p>
    <w:p w14:paraId="59560226"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Por ende, lo que realmente resulta de vital importancia es el modo en que las secuelas afectan a la víctima para desarrollar los diversos actos de la vida cotidiana, considerando tanto la faz laboral como la vida de relación del individuo, ya que la "indemnización en sede civil tiende a la integralidad" (SCJM. 9/8/2010, "Leiva Rubén Darío en J° 81.963/31.663 Leiva Rubén D. C/ Monte-Negro Martínez Miguel Ángel P/ D. y P. S/ INC.").</w:t>
      </w:r>
    </w:p>
    <w:p w14:paraId="539D56F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Es pertinente recordar, tal como lo sostuviera mi distinguido colega de la Sala "J", el Dr. Maximiliano L. </w:t>
      </w:r>
      <w:proofErr w:type="spellStart"/>
      <w:r w:rsidRPr="003F4DA9">
        <w:rPr>
          <w:rFonts w:ascii="Times New Roman" w:hAnsi="Times New Roman" w:cs="Times New Roman"/>
          <w:sz w:val="27"/>
          <w:szCs w:val="27"/>
        </w:rPr>
        <w:t>Caia</w:t>
      </w:r>
      <w:proofErr w:type="spellEnd"/>
      <w:r w:rsidRPr="003F4DA9">
        <w:rPr>
          <w:rFonts w:ascii="Times New Roman" w:hAnsi="Times New Roman" w:cs="Times New Roman"/>
          <w:sz w:val="27"/>
          <w:szCs w:val="27"/>
        </w:rPr>
        <w:t xml:space="preserve"> en su voto como vocal preopinante en autos </w:t>
      </w:r>
      <w:r w:rsidRPr="003F4DA9">
        <w:rPr>
          <w:rFonts w:ascii="Times New Roman" w:hAnsi="Times New Roman" w:cs="Times New Roman"/>
          <w:sz w:val="27"/>
          <w:szCs w:val="27"/>
        </w:rPr>
        <w:lastRenderedPageBreak/>
        <w:t>"C., C. I. y otro c/ B., M. C. y otros s/Danos y perjuicios", el derecho que tiene toda persona a una reparación integral de los danos sufridos. Este principio basal del sistema de reparación civil encuentra su fundamento en la Constitución Nacional y está expresamente reconocido por el plexo convencional incorporado al artículo 75, inciso 22, de la Ley Fundamental (conf. artículos I de la Declaración Americana de los Derechos y Deberes del Hombre; 3° de la Declaración Universal de Derechos Humanos; 4°, Buenos Aires, 2 de Septiembre de 2021 - 2 - 5° y 21 del Pacto de San José de Costa Rica y 6° del Pacto Internacional de Derechos Civiles y Políticos).</w:t>
      </w:r>
    </w:p>
    <w:p w14:paraId="561DB5B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 la violación del deber de no dañar a otro lo que genera la obligación de reparar el menoscabo causado, noción que comprende todo perjuicio susceptible de apreciación pecuniaria que afecte en forma cierta a otro en su persona, en su patrimonio y/o en sus derechos o facultades (conf. Fallos: 340:1038 "Ontiveros" y sus citas). Dicha reparación integral no se logra si el resarcimiento que se admite como modo de reparar los danos ocasionados se concreta en valores económicos insignificantes en relación con la entidad del daño que pretende resarcirse (conf. Fallos: 314:729, considerando 4°; 316:1949, considerando 4°, y 340:1038; entre otros).</w:t>
      </w:r>
    </w:p>
    <w:p w14:paraId="4CD21177"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En esa línea de razonamiento, la Corte Suprema en el marco de una demanda laboral por danos deducida con sustento en las normas del Código Civil ha enfatizado que "resulta inconcebible que una indemnización civil que debe ser integral, ni siquiera alcance a las prestaciones mínimas que el sistema especial de reparación de los accidentes laborales asegura a todo trabajador con independencia de su nivel de ingreso salarial" (conf. Fallos: 340:1038 "Ontiveros"), así como también ha admitido que, más allá de que -como norma- no quepa en supuestos como los examinados recurrir a criterios matemáticos ni aplicar las fórmulas utilizadas por la ley de accidentes de trabajo, estos últimos pueden constituir una pauta genérica de referencia que no debe ser desatendida por quienes tienen a su cargo la tarea de cuantificar los danos (conf. </w:t>
      </w:r>
      <w:proofErr w:type="spellStart"/>
      <w:r w:rsidRPr="003F4DA9">
        <w:rPr>
          <w:rFonts w:ascii="Times New Roman" w:hAnsi="Times New Roman" w:cs="Times New Roman"/>
          <w:sz w:val="27"/>
          <w:szCs w:val="27"/>
        </w:rPr>
        <w:t>arg.</w:t>
      </w:r>
      <w:proofErr w:type="spellEnd"/>
      <w:r w:rsidRPr="003F4DA9">
        <w:rPr>
          <w:rFonts w:ascii="Times New Roman" w:hAnsi="Times New Roman" w:cs="Times New Roman"/>
          <w:sz w:val="27"/>
          <w:szCs w:val="27"/>
        </w:rPr>
        <w:t xml:space="preserve"> Fallos: 327:2722 y 331:570).</w:t>
      </w:r>
    </w:p>
    <w:p w14:paraId="31F4DB19"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La consideración de criterios objetivos para determinar la suma indemnizatoria en cada caso no importa desconocer la facultad propia de los magistrados de adecuar el monto de la reparación a las circunstancias y condiciones personales del damnificado habida cuenta el margen de valoración de que aquellos gozan en la materia (artículo 165 del Código Procesal Civil y Comercial de la Nación), sino recurrir a pautas meramente orientadoras que permitan arribar a una solución que concilie de la mejor manera posible los intereses en juego y evite -o cuando menos minimice- valoraciones sumamente dispares respecto de un mismo daño sin motivos </w:t>
      </w:r>
      <w:r w:rsidRPr="003F4DA9">
        <w:rPr>
          <w:rFonts w:ascii="Times New Roman" w:hAnsi="Times New Roman" w:cs="Times New Roman"/>
          <w:sz w:val="27"/>
          <w:szCs w:val="27"/>
        </w:rPr>
        <w:lastRenderedPageBreak/>
        <w:t>razonables y/o de entidad que lo justifiquen. Ello máxime cuando, como en el caso, la ponderación cuestionada por insuficiente atañe al daño material.</w:t>
      </w:r>
    </w:p>
    <w:p w14:paraId="198611E5"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función de las consideraciones señaladas, ponderadas a la luz del prisma del derecho a una reparación integral, el cimero Tribunal entiende que resulta ineludible que, al tiempo de determinar el monto indemnizatorio por incapacidad sobreviniente y valor vida, los magistrados intervinientes tengan en cuenta como pauta orientadora las sumas indemnizatorias que establece el régimen de reparación de riesgos del trabajo para esos mismos rubros, lo que coadyuvara a arribar a una decisión que -</w:t>
      </w:r>
      <w:proofErr w:type="spellStart"/>
      <w:r w:rsidRPr="003F4DA9">
        <w:rPr>
          <w:rFonts w:ascii="Times New Roman" w:hAnsi="Times New Roman" w:cs="Times New Roman"/>
          <w:sz w:val="27"/>
          <w:szCs w:val="27"/>
        </w:rPr>
        <w:t>mas</w:t>
      </w:r>
      <w:proofErr w:type="spellEnd"/>
      <w:r w:rsidRPr="003F4DA9">
        <w:rPr>
          <w:rFonts w:ascii="Times New Roman" w:hAnsi="Times New Roman" w:cs="Times New Roman"/>
          <w:sz w:val="27"/>
          <w:szCs w:val="27"/>
        </w:rPr>
        <w:t xml:space="preserve"> allá de las particularidades propias de cada régimen indemnizatorio- no desatienda la necesaria armonía que debe regir en el ordenamiento jurídico cuando no se evidencian razones de entidad para un proceder diferente. Ello, pues no resulta razonable que -como se advierte en el caso- a un trabajador en relación de dependencia se le otorgue protección mayor que a cualquier otro habitante cuando lo que se intenta resarcir de manera integral es el mismo concepto. Esta diferenciación, sin otro fundamento más que la condición señalada, conduce a vulnerar el derecho de igualdad ante la ley previsto por el artículo 16 de la Constitución Nacional. Recurso de hecho deducido por la parte actora en la causa (conf. CSJN. "</w:t>
      </w:r>
      <w:proofErr w:type="spellStart"/>
      <w:r w:rsidRPr="003F4DA9">
        <w:rPr>
          <w:rFonts w:ascii="Times New Roman" w:hAnsi="Times New Roman" w:cs="Times New Roman"/>
          <w:sz w:val="27"/>
          <w:szCs w:val="27"/>
        </w:rPr>
        <w:t>Grippo</w:t>
      </w:r>
      <w:proofErr w:type="spellEnd"/>
      <w:r w:rsidRPr="003F4DA9">
        <w:rPr>
          <w:rFonts w:ascii="Times New Roman" w:hAnsi="Times New Roman" w:cs="Times New Roman"/>
          <w:sz w:val="27"/>
          <w:szCs w:val="27"/>
        </w:rPr>
        <w:t>, Guillermo Oscar; Claudia P. Acuna y otros c/ Campos, Enrique Oscar y otros s/ danos y perjuicios (</w:t>
      </w:r>
      <w:proofErr w:type="spellStart"/>
      <w:r w:rsidRPr="003F4DA9">
        <w:rPr>
          <w:rFonts w:ascii="Times New Roman" w:hAnsi="Times New Roman" w:cs="Times New Roman"/>
          <w:sz w:val="27"/>
          <w:szCs w:val="27"/>
        </w:rPr>
        <w:t>acc</w:t>
      </w:r>
      <w:proofErr w:type="spellEnd"/>
      <w:r w:rsidRPr="003F4DA9">
        <w:rPr>
          <w:rFonts w:ascii="Times New Roman" w:hAnsi="Times New Roman" w:cs="Times New Roman"/>
          <w:sz w:val="27"/>
          <w:szCs w:val="27"/>
        </w:rPr>
        <w:t xml:space="preserve">. </w:t>
      </w:r>
      <w:proofErr w:type="spellStart"/>
      <w:r w:rsidRPr="003F4DA9">
        <w:rPr>
          <w:rFonts w:ascii="Times New Roman" w:hAnsi="Times New Roman" w:cs="Times New Roman"/>
          <w:sz w:val="27"/>
          <w:szCs w:val="27"/>
        </w:rPr>
        <w:t>tran</w:t>
      </w:r>
      <w:proofErr w:type="spellEnd"/>
      <w:r w:rsidRPr="003F4DA9">
        <w:rPr>
          <w:rFonts w:ascii="Times New Roman" w:hAnsi="Times New Roman" w:cs="Times New Roman"/>
          <w:sz w:val="27"/>
          <w:szCs w:val="27"/>
        </w:rPr>
        <w:t xml:space="preserve">. c/ les. o muerte)", del 2/9/2021; </w:t>
      </w:r>
      <w:proofErr w:type="spellStart"/>
      <w:r w:rsidRPr="003F4DA9">
        <w:rPr>
          <w:rFonts w:ascii="Times New Roman" w:hAnsi="Times New Roman" w:cs="Times New Roman"/>
          <w:sz w:val="27"/>
          <w:szCs w:val="27"/>
        </w:rPr>
        <w:t>Conf</w:t>
      </w:r>
      <w:proofErr w:type="spellEnd"/>
      <w:r w:rsidRPr="003F4DA9">
        <w:rPr>
          <w:rFonts w:ascii="Times New Roman" w:hAnsi="Times New Roman" w:cs="Times New Roman"/>
          <w:sz w:val="27"/>
          <w:szCs w:val="27"/>
        </w:rPr>
        <w:t xml:space="preserve"> CNCiv. Sala "J", 24/9/2021, Exp. N° 23.710/2010, "Casanovas, Cesar Ignacio y otro c/ Bravo, Mercedes C. y otros s/ Danos y perjuicios"; </w:t>
      </w:r>
      <w:proofErr w:type="spellStart"/>
      <w:r w:rsidRPr="003F4DA9">
        <w:rPr>
          <w:rFonts w:ascii="Times New Roman" w:hAnsi="Times New Roman" w:cs="Times New Roman"/>
          <w:sz w:val="27"/>
          <w:szCs w:val="27"/>
        </w:rPr>
        <w:t>idem</w:t>
      </w:r>
      <w:proofErr w:type="spellEnd"/>
      <w:r w:rsidRPr="003F4DA9">
        <w:rPr>
          <w:rFonts w:ascii="Times New Roman" w:hAnsi="Times New Roman" w:cs="Times New Roman"/>
          <w:sz w:val="27"/>
          <w:szCs w:val="27"/>
        </w:rPr>
        <w:t xml:space="preserve">, 19/10/2021, Expte N° 95.490/2017 "Tula, German Andrés y otro c/ Gorordo, Jorge Sebastián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xml:space="preserve">/ danos y perjuicios" ídem id, 25/10/2021, Expte N° 14701/2016 "Latorre Yapo Erik Ernesto c/ Mosconi </w:t>
      </w:r>
      <w:proofErr w:type="spellStart"/>
      <w:r w:rsidRPr="003F4DA9">
        <w:rPr>
          <w:rFonts w:ascii="Times New Roman" w:hAnsi="Times New Roman" w:cs="Times New Roman"/>
          <w:sz w:val="27"/>
          <w:szCs w:val="27"/>
        </w:rPr>
        <w:t>Elisabet</w:t>
      </w:r>
      <w:proofErr w:type="spellEnd"/>
      <w:r w:rsidRPr="003F4DA9">
        <w:rPr>
          <w:rFonts w:ascii="Times New Roman" w:hAnsi="Times New Roman" w:cs="Times New Roman"/>
          <w:sz w:val="27"/>
          <w:szCs w:val="27"/>
        </w:rPr>
        <w:t xml:space="preserve"> Josefina s/ danos y perjuicios"; Id </w:t>
      </w:r>
      <w:proofErr w:type="spellStart"/>
      <w:r w:rsidRPr="003F4DA9">
        <w:rPr>
          <w:rFonts w:ascii="Times New Roman" w:hAnsi="Times New Roman" w:cs="Times New Roman"/>
          <w:sz w:val="27"/>
          <w:szCs w:val="27"/>
        </w:rPr>
        <w:t>id</w:t>
      </w:r>
      <w:proofErr w:type="spellEnd"/>
      <w:r w:rsidRPr="003F4DA9">
        <w:rPr>
          <w:rFonts w:ascii="Times New Roman" w:hAnsi="Times New Roman" w:cs="Times New Roman"/>
          <w:sz w:val="27"/>
          <w:szCs w:val="27"/>
        </w:rPr>
        <w:t>, 28/12/2021, Expte. Nro. 45597/2014 "</w:t>
      </w:r>
      <w:proofErr w:type="spellStart"/>
      <w:r w:rsidRPr="003F4DA9">
        <w:rPr>
          <w:rFonts w:ascii="Times New Roman" w:hAnsi="Times New Roman" w:cs="Times New Roman"/>
          <w:sz w:val="27"/>
          <w:szCs w:val="27"/>
        </w:rPr>
        <w:t>Montone</w:t>
      </w:r>
      <w:proofErr w:type="spellEnd"/>
      <w:r w:rsidRPr="003F4DA9">
        <w:rPr>
          <w:rFonts w:ascii="Times New Roman" w:hAnsi="Times New Roman" w:cs="Times New Roman"/>
          <w:sz w:val="27"/>
          <w:szCs w:val="27"/>
        </w:rPr>
        <w:t xml:space="preserve"> Miguel Ángel y otro c/ Monte Grande SA Empresa SA/ danos y perjuicios")</w:t>
      </w:r>
    </w:p>
    <w:p w14:paraId="4769406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El porcentaje de incapacidad laboral no es una pauta determinante que el juzgador deba inevitablemente seguir para mensurar y resarcir el daño a la integridad psicofísica, cuando se demanda de acuerdo con el derecho civil. Como lo destaca el juez Lorenzetti en su voto (considerando catorce), si bien el porcentaje de incapacidad laboral es una pauta genérica de referencia, el juzgador debe también valorar las consecuencias que afecten a la víctima, tanto desde el punto de vista individual como desde el social, lo que le confiere a dicha tarea un marco de valoración más amplio (Fallos: 308:1109; 312:2412; 322:2658; 326:847; 327:2722 y 329:4944). Ello es consecuencia, asimismo, de las diferencias que existen entre el régimen indemnizatorio civil y el sistema especial de reparación de los accidentes laborales (doctrina de </w:t>
      </w:r>
      <w:r w:rsidRPr="003F4DA9">
        <w:rPr>
          <w:rFonts w:ascii="Times New Roman" w:hAnsi="Times New Roman" w:cs="Times New Roman"/>
          <w:sz w:val="27"/>
          <w:szCs w:val="27"/>
        </w:rPr>
        <w:lastRenderedPageBreak/>
        <w:t>Fallos: 305:2244 y 330:1751, disidencia del juez Lorenzetti, considerando octavo; ver también voto del juez Rosenkrantz en fallo citado).</w:t>
      </w:r>
    </w:p>
    <w:p w14:paraId="2BD98551"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Con ese alcance, cabe utilizar como criterio para cuantificar el daño causado el de reconocer un capital, de tal modo que sus rentas cubran la disminución de la aptitud del damnificado para realizar actividades productivas o económicamente valorables, y que se agote al término del plazo en que razonablemente pudo continuar realizando tales actividades (cfr. art. 1746 del Código Civil y Comercial de la Nación; CNCiv. Sala B "Leguizamón, Elsa Isabel c/ Cima, D. s / danos y perjuicios" del 14-4-2016, entre muchos otros).</w:t>
      </w:r>
    </w:p>
    <w:p w14:paraId="52DC479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Al ser ello así, tomando como pauta orientadora las disposiciones establecidas para compensar las incapacidades permanentes de los trabajadores de conformidad con lo informado por el "Ministerio de Trabajo, Empleo y Seguridad Social - Superintendencia de Riesgos del Trabajo en https://www.argentina.gob.ar/srt/art/pagos-art/incapacidad- laboralpermanente-50; lo normado por la leyes 24.557 y 26.773, ponderando el porcentaje de incapacidad estimado pericialmente, la edad que tema el actor a la fecha del hecho (33 años), y el salario mínimo vital y móvil establecido conforme Resolución 11/2021 del "Ministerio de Trabajo, Empleado y Seguridad Social" (B.O.27/9/2021), y atendiendo al límite del agravio, dado que este aspecto de la sentencia no ha sido cuestionado por las demandadas, propongo al Acuerdo confirmar el importe fijado por la partida en estudio.</w:t>
      </w:r>
    </w:p>
    <w:p w14:paraId="67B383E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B)</w:t>
      </w:r>
      <w:r w:rsidRPr="003F4DA9">
        <w:rPr>
          <w:rFonts w:ascii="Times New Roman" w:hAnsi="Times New Roman" w:cs="Times New Roman"/>
          <w:sz w:val="27"/>
          <w:szCs w:val="27"/>
        </w:rPr>
        <w:tab/>
        <w:t>Consecuencias no patrimoniales.</w:t>
      </w:r>
    </w:p>
    <w:p w14:paraId="6CD763F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Se agravia la Sra. Defensora de Menores e Incapaces de Cámara de la indemnización fijada por la Sra. jueza de grado para resarcir este rubro por considerarla exigua ($15.000.000).</w:t>
      </w:r>
    </w:p>
    <w:p w14:paraId="1E2400E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Desde una concepción sistémica -en donde la Constitución constituye el vértice o núcleo- el Derecho tutela intereses trascendentes de la persona, además de los estrictamente patrimoniales. (Tomas, José W, "Hacia un replanteo del concepto (o el contenido) del daño moral" L. L. 1993-E, 1227 - Responsabilidad Civil Doctrinas Esenciales Tomo III, 33).</w:t>
      </w:r>
    </w:p>
    <w:p w14:paraId="6642B07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Este instituto se aplica cuando se lesionan los sentimientos o afecciones legítimas de una persona que se traducen en un concreto perjuicio ocasionado por un evento dañoso. Dicho, en otros términos, cuando se perturba de una manera u otra la tranquilidad y el ritmo normal de vida del damnificado, sea en el ámbito privado, o en el desempeño de sus actividades comerciales.</w:t>
      </w:r>
    </w:p>
    <w:p w14:paraId="2777F72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Con atinado criterio se ha expresado que el daño patrimonial afecta lo que el sujeto tiene, en cambio, el daño moral lesiona lo que el sujeto "es" (Matilde Zavala de González, "Resarcimiento de Danos", Presupuestos y Funciones del </w:t>
      </w:r>
      <w:r w:rsidRPr="003F4DA9">
        <w:rPr>
          <w:rFonts w:ascii="Times New Roman" w:hAnsi="Times New Roman" w:cs="Times New Roman"/>
          <w:sz w:val="27"/>
          <w:szCs w:val="27"/>
        </w:rPr>
        <w:lastRenderedPageBreak/>
        <w:t xml:space="preserve">Derecho de Danos, t. 4, pags. 103, 1143 y "El concepto de daño moral", JA del 6-2-85; C. N. Civ., Sala "J", 1/10/2020 Expte N° 15.489/2016 "Acosta, Luis Cesar c/ Alvarenga Gartia, Jorge Antonio y otros s/ danos y perjuicios"; Ídem 3/2/2021 Expte. 21515/2014, "Benítez, Emanuel Hernán c/ Consultores Asociados Ecotranns (Línea 136, interno 216)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/danos y perjuicios"; ídem id 20/12/2021, Expte N° 11570/2017 "Duarte, Franco María Sandra c/ Línea 71 SA s/Danos y Perjuicios"; entre muchos otros)</w:t>
      </w:r>
    </w:p>
    <w:p w14:paraId="4051890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Por lo demás, es dable señalar, que la procedencia y determinación de este daño no está vinculada a la existencia o entidad de los perjuicios materiales, pues media interdependencia entre tales rubros, que tienen su propia configuración (conf. Llambías, Jorge J., "Tratado de Derecho Civil, Obligaciones, T° I, p. 13, ed. AbeledoPerrot; CSJN., 06/10/2009, "Arisnabarreta, Rubén J. c/ E. N. (Min. de Educación y Justicia de la Nación) s/ juicios de conocimiento"; ídem., 07/11/2006, "Bianchi, Isabel del C. Pereyra de c/ Buenos Aires, Provincia de y Camino del Atlántico S.A. y/o quien pueda resultar dueño y/o guardián de los animales causantes del accidente s/ danos y perjuicios", Fallos 329:4944; Id., 24/08/2006, "Ferrari de Grand, Teresa Hortensia Mercedes y otros c/ Entre Ríos, Provincia de y otros s/ danos y perjuicios", Fallos 329: 3403; Id., 06/03/2007, ORI, "Mosca, Hugo Arnaldo c/ Buenos Aires, Provincia de (Policía Bonaerense) y otros s/ danos y perjuicios", Fallos 330: 563, entre muchos otros).</w:t>
      </w:r>
    </w:p>
    <w:p w14:paraId="1302C709"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Asimismo, el art. 1741 del CCyCN in fine establece que "el monto de la indemnización debe fijarse ponderando las satisfacciones sustitutivas y compensatorias que pueden procurar las sumas reconocidas" delimitando la actividad jurisdiccional y acentuando sus funciones reparatorias.</w:t>
      </w:r>
    </w:p>
    <w:p w14:paraId="6C9A508D"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otras palabras, el monto del resarcimiento debe permitir procurarse un placer que compense o sustituya el displacer sufrido, criterio que jurisprudencialmente se viene aplicando de manera inveterada por nuestros tribunales.</w:t>
      </w:r>
    </w:p>
    <w:p w14:paraId="77111879"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cuanto a su valuación, cabe recordar lo señalado por la Corte Suprema de Justicia de la Nación en el sentido que: El dolor humano es apreciable y la tarea del juez es realizar la justicia humana; no se trata de una especulación ilícita con los sentimientos sino de dar- le a la víctima la posibilidad de procurar satisfacciones equivalentes a lo que ha perdido.</w:t>
      </w:r>
    </w:p>
    <w:p w14:paraId="65E4BF7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Señaló nuestro Máximo Tribunal que "Aun cuando el dinero sea un factor muy inadecuado de reparación, puede procurar al- gunas satisfacciones de orden moral, susceptibles, en cierto grado, de reemplazar en el patrimonio moral el valor que del mismo ha desaparecido. Se trata de compensar, en la medida posible, un daño consumado. El dinero es un medio de obtener </w:t>
      </w:r>
      <w:r w:rsidRPr="003F4DA9">
        <w:rPr>
          <w:rFonts w:ascii="Times New Roman" w:hAnsi="Times New Roman" w:cs="Times New Roman"/>
          <w:sz w:val="27"/>
          <w:szCs w:val="27"/>
        </w:rPr>
        <w:lastRenderedPageBreak/>
        <w:t>satisfacción goces y distracciones para restablecer el equilibrio en los bienes extrapatrimoniales.</w:t>
      </w:r>
    </w:p>
    <w:p w14:paraId="1392D6A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El dinero no cumple una función valorativa exacta, el dolor no puede medirse o tasarse, sino que se trata solamente de dar algunos medios de satisfacción, lo cual no es igual a la equivalencia.</w:t>
      </w:r>
    </w:p>
    <w:p w14:paraId="0342BADD"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Empero, la dificultad en calcular los dolores no impide apreciarlos en su intensidad y grado, por lo que cabe sostener que es posible justipreciar la satisfacción que procede para resarcir dentro de lo humanamente posible, las angustias, inquietudes, miedos, padecimientos y tristeza propios de la situación vivida" (CSJN, 12/4/2011, "Baeza, Silvia Ofelia c/ Provincia de Buenos Aires y otros", RCyS, noviembre de 2011, p. 261, con nota de Jorge Mario Galdos; CNCiv, Sala A 17/7/2014 " R. M. B. c/ Banco Supervielle S.A. s/ danos y perjuicios" del voto del Dr. Sebastián Picasso; cita: MJ-JU-M-88578-AR | MJJ88578 | MJJ88578).</w:t>
      </w:r>
    </w:p>
    <w:p w14:paraId="3207681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El criterio fijado por la actual legislación de fondo, impone que la cuantía indemnizatoria debe fijarse conforme dicha pauta orientadora.</w:t>
      </w:r>
    </w:p>
    <w:p w14:paraId="6131BA03"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En virtud de ello, tomando en consideración las particulares circunstancias que rodearon el caso de autos y las gravísimas secuelas que presenta el actor como consecuencia de los hechos que se imputan a los profesionales demandados, atendiendo al límite del agravio, dado que este aspecto de la sentencia no ha sido cuestionado por las demandadas, propongo al Acuerdo confirmar el importe fijado por la partida en estudio.</w:t>
      </w:r>
    </w:p>
    <w:p w14:paraId="4BB9ECA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C) Lucro cesante.</w:t>
      </w:r>
    </w:p>
    <w:p w14:paraId="36B82A7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Se agravian la parte actora y la Sra. Defensora de Menores e Incapaces del rechazo del reclamo efectuado por el coactor R. V. B. en concepto de "lucro cesante".</w:t>
      </w:r>
    </w:p>
    <w:p w14:paraId="5241FDB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Al efecto insisten en sostener que a la fecha del he- cho el actor trabajaba en relación de dependencia para la empresa "Química </w:t>
      </w:r>
      <w:proofErr w:type="spellStart"/>
      <w:r w:rsidRPr="003F4DA9">
        <w:rPr>
          <w:rFonts w:ascii="Times New Roman" w:hAnsi="Times New Roman" w:cs="Times New Roman"/>
          <w:sz w:val="27"/>
          <w:szCs w:val="27"/>
        </w:rPr>
        <w:t>Lambadi</w:t>
      </w:r>
      <w:proofErr w:type="spellEnd"/>
      <w:r w:rsidRPr="003F4DA9">
        <w:rPr>
          <w:rFonts w:ascii="Times New Roman" w:hAnsi="Times New Roman" w:cs="Times New Roman"/>
          <w:sz w:val="27"/>
          <w:szCs w:val="27"/>
        </w:rPr>
        <w:t xml:space="preserve"> SA" y también en el sindicato codemandado, percibiendo por ambos trabajos remuneraciones mensuales, que fueron acreditadas con los recibos pertinentes. Que como consecuencia de las secuelas que le genero la mala praxis que motiva estas actuaciones se vio imposibilitado de seguir trabajando de por vida.</w:t>
      </w:r>
    </w:p>
    <w:p w14:paraId="48AFDB5B"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El lucro cesante importa el quebranto patrimonial representativo de las ganancias efectivamente dejadas de percibir como cesación de un lucro específico relacionado causalmente con el accidente. Y, al pretenderse el amparo judicial de este reclamo, debe también acreditarse sino en forma fehaciente y categórica, por lo menos con pautas aproximadas, el volumen de ingresos dejados de percibir a resultas del siniestro (CNCiv., Sala A, </w:t>
      </w:r>
      <w:r w:rsidRPr="003F4DA9">
        <w:rPr>
          <w:rFonts w:ascii="Times New Roman" w:hAnsi="Times New Roman" w:cs="Times New Roman"/>
          <w:sz w:val="27"/>
          <w:szCs w:val="27"/>
        </w:rPr>
        <w:lastRenderedPageBreak/>
        <w:t>04/11/1997, "</w:t>
      </w:r>
      <w:proofErr w:type="spellStart"/>
      <w:r w:rsidRPr="003F4DA9">
        <w:rPr>
          <w:rFonts w:ascii="Times New Roman" w:hAnsi="Times New Roman" w:cs="Times New Roman"/>
          <w:sz w:val="27"/>
          <w:szCs w:val="27"/>
        </w:rPr>
        <w:t>Beaumarie</w:t>
      </w:r>
      <w:proofErr w:type="spellEnd"/>
      <w:r w:rsidRPr="003F4DA9">
        <w:rPr>
          <w:rFonts w:ascii="Times New Roman" w:hAnsi="Times New Roman" w:cs="Times New Roman"/>
          <w:sz w:val="27"/>
          <w:szCs w:val="27"/>
        </w:rPr>
        <w:t xml:space="preserve">, Carlos F. y otro c/ Transportes Sargento Cabral S.A.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xml:space="preserve">/ danos y perjuicios"; ídem esta sala, 30/11/2021, Expte. 2.529/2018, "Zamacona, Gabriel Alfredo c/ </w:t>
      </w:r>
      <w:proofErr w:type="spellStart"/>
      <w:r w:rsidRPr="003F4DA9">
        <w:rPr>
          <w:rFonts w:ascii="Times New Roman" w:hAnsi="Times New Roman" w:cs="Times New Roman"/>
          <w:sz w:val="27"/>
          <w:szCs w:val="27"/>
        </w:rPr>
        <w:t>Navoni</w:t>
      </w:r>
      <w:proofErr w:type="spellEnd"/>
      <w:r w:rsidRPr="003F4DA9">
        <w:rPr>
          <w:rFonts w:ascii="Times New Roman" w:hAnsi="Times New Roman" w:cs="Times New Roman"/>
          <w:sz w:val="27"/>
          <w:szCs w:val="27"/>
        </w:rPr>
        <w:t xml:space="preserve"> Godoy, Edgar Francisco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xml:space="preserve">/ danos y perjuicios"; ídem id, 22/12/2021, Expte N° 27231/2018 </w:t>
      </w:r>
      <w:proofErr w:type="spellStart"/>
      <w:r w:rsidRPr="003F4DA9">
        <w:rPr>
          <w:rFonts w:ascii="Times New Roman" w:hAnsi="Times New Roman" w:cs="Times New Roman"/>
          <w:sz w:val="27"/>
          <w:szCs w:val="27"/>
        </w:rPr>
        <w:t>Pastorini</w:t>
      </w:r>
      <w:proofErr w:type="spellEnd"/>
      <w:r w:rsidRPr="003F4DA9">
        <w:rPr>
          <w:rFonts w:ascii="Times New Roman" w:hAnsi="Times New Roman" w:cs="Times New Roman"/>
          <w:sz w:val="27"/>
          <w:szCs w:val="27"/>
        </w:rPr>
        <w:t>, Adrián E. c/ Estrada Paz, Walter Armando y otros s/ danos. y perjuicios"; entre otros muchos).</w:t>
      </w:r>
    </w:p>
    <w:p w14:paraId="1D7F058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En efecto, el lucro cesante contempla la ganancia frustra- da, es decir, los danos que se producen por falta de ingreso de determinados bienes o derechos al patrimonio de la víctima, que se ve privada de beneficios que hubiera obtenido de no mediar el hecho dañoso (conf. </w:t>
      </w:r>
      <w:proofErr w:type="spellStart"/>
      <w:r w:rsidRPr="003F4DA9">
        <w:rPr>
          <w:rFonts w:ascii="Times New Roman" w:hAnsi="Times New Roman" w:cs="Times New Roman"/>
          <w:sz w:val="27"/>
          <w:szCs w:val="27"/>
        </w:rPr>
        <w:t>Moisset</w:t>
      </w:r>
      <w:proofErr w:type="spellEnd"/>
      <w:r w:rsidRPr="003F4DA9">
        <w:rPr>
          <w:rFonts w:ascii="Times New Roman" w:hAnsi="Times New Roman" w:cs="Times New Roman"/>
          <w:sz w:val="27"/>
          <w:szCs w:val="27"/>
        </w:rPr>
        <w:t xml:space="preserve"> de </w:t>
      </w:r>
      <w:proofErr w:type="spellStart"/>
      <w:r w:rsidRPr="003F4DA9">
        <w:rPr>
          <w:rFonts w:ascii="Times New Roman" w:hAnsi="Times New Roman" w:cs="Times New Roman"/>
          <w:sz w:val="27"/>
          <w:szCs w:val="27"/>
        </w:rPr>
        <w:t>Espanes</w:t>
      </w:r>
      <w:proofErr w:type="spellEnd"/>
      <w:r w:rsidRPr="003F4DA9">
        <w:rPr>
          <w:rFonts w:ascii="Times New Roman" w:hAnsi="Times New Roman" w:cs="Times New Roman"/>
          <w:sz w:val="27"/>
          <w:szCs w:val="27"/>
        </w:rPr>
        <w:t>, "Reflexiones sobre el daño actual y el daño futuro con relación al daño emergente y al lucro cesante", ED 59, pág. 792).</w:t>
      </w:r>
    </w:p>
    <w:p w14:paraId="2D03F339"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Por otra parte, no bastaría poner de relieve la sola suspensión de la actividad productiva sino, además, que tal estado de cosas ha generado en concreto una </w:t>
      </w:r>
      <w:proofErr w:type="spellStart"/>
      <w:r w:rsidRPr="003F4DA9">
        <w:rPr>
          <w:rFonts w:ascii="Times New Roman" w:hAnsi="Times New Roman" w:cs="Times New Roman"/>
          <w:sz w:val="27"/>
          <w:szCs w:val="27"/>
        </w:rPr>
        <w:t>perdida</w:t>
      </w:r>
      <w:proofErr w:type="spellEnd"/>
      <w:r w:rsidRPr="003F4DA9">
        <w:rPr>
          <w:rFonts w:ascii="Times New Roman" w:hAnsi="Times New Roman" w:cs="Times New Roman"/>
          <w:sz w:val="27"/>
          <w:szCs w:val="27"/>
        </w:rPr>
        <w:t xml:space="preserve"> económica.</w:t>
      </w:r>
    </w:p>
    <w:p w14:paraId="0B9689C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La acreditación del valor del lucro cesante ofrece dificultades por vincularse con beneficios de algún modo supuestos. Cierta corriente sostiene que debe admitirse alguna flexibilidad en la acreditación de las ganancias frustradas; si está probada la perdida misma, puede fijarse el monto indemnizatorio aun en defecto de demostración de aquella cuantía. En general se admite la fijación prudencial por el juez del monto del lucro cesante, si este perjuicio ha sido probado (Matilde Zavala de González - Rodolfo González Zavala, Responsabilidad civil en el nuevo Código, p. 194/195, T. II, ed. Alveroni).</w:t>
      </w:r>
    </w:p>
    <w:p w14:paraId="292F85D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Ahora bien, dado que en el caso se ha acreditado que las gravísimas secuelas neurológicas que lamentablemente padece el actor en forma permanente a raíz de la mala praxis que motivo este juicio, lo han incapacitado de por vida para continuar trabajando, el re- clamo en estudio ha de considerarse subsumido en el concepto de in- capacidad sobreviniente, que fue tratado en el punto A), a cuyas consideraciones me remito.</w:t>
      </w:r>
    </w:p>
    <w:p w14:paraId="1F2F0D1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IX.</w:t>
      </w:r>
      <w:r w:rsidRPr="003F4DA9">
        <w:rPr>
          <w:rFonts w:ascii="Times New Roman" w:hAnsi="Times New Roman" w:cs="Times New Roman"/>
          <w:sz w:val="27"/>
          <w:szCs w:val="27"/>
        </w:rPr>
        <w:tab/>
        <w:t>Planteo de indexación. Inconstitucionalidad de las leyes 23298 y 25561 y decreto 214/02.</w:t>
      </w:r>
    </w:p>
    <w:p w14:paraId="6B16A9E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En cuanto a la queja ensayada por la parte actora relacionadas con la desvalorización monetaria, es dable decir ante todo que en tanto que la Ley de Convertibilidad (N°23.928) como su reforma Ley de Emergencia Financiera (N°25.561) derogo todas las normas legales o reglamentarias que establecían o autorizaban la indexación por precios, actualización monetaria, variación de costos o cualquier otra forma de repotenciación de las deudas (conf. art. 10), no corresponde calcular actualización alguna, en el sub lite, entre la indicada fecha de reclamo y la que resulte del efectivo pago. Luego, corresponde su </w:t>
      </w:r>
      <w:r w:rsidRPr="003F4DA9">
        <w:rPr>
          <w:rFonts w:ascii="Times New Roman" w:hAnsi="Times New Roman" w:cs="Times New Roman"/>
          <w:sz w:val="27"/>
          <w:szCs w:val="27"/>
        </w:rPr>
        <w:lastRenderedPageBreak/>
        <w:t xml:space="preserve">rechazo, atento que ha sido receptada su petición supra con el tratamiento de los intereses ya que, deudas como la de autos solo pue- den compensar los efectos de la mora a través de intereses moratorios (esta Sala, Exp. N° 111.848/2011, "O., L. y otros c/F., P. D.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xml:space="preserve">/ danos y perjuicios", del 29 de octubre de 2021, Expte. n° 11.495/2014 "M., María Zulema c/ Micrómnibus General San M. SAC s/ danos y perjuicios", del 9 de marzo de 2022; Expte. n° 26.558/2017 "Mantinan, Eduardo A. c/ Koziner, Natalio Felipe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/Danos y Perjuicios", del 8 de abril de 2022).</w:t>
      </w:r>
    </w:p>
    <w:p w14:paraId="5F804493"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En torno al planteo de inconstitucionalidad de las referidas normas, cabe recordar que se rige por un principio hermenéutico de carácter restrictivo, criterio reiteradamente puesto de resalto por nuestro más Alto Tribunal (conf. CNCiv., Sala A, R. 178.739 del 2011-95 y citas, entre tantos otros). Constituye un acto de "suma grave- dad institucional y una de las más delicadas funciones susceptibles de encomendarse a un tribunal de justicia, y por ello, debe ser considera- da como la "última ratio" del orden jurídico, y solo debe ejercerse cuando la repugnancia con la cláusula constitucional es manifiesta y la incompatibilidad inconciliable y que ha de preferirse aquella interpretación que las armonice y deje a todas con igual validez" (conf. C.S.J.N., Fallos, 302:457; 311:394; 312:435, 314:407; 315:923; 322:842; 1681; entre muchos otros). Los jueces solo pueden apelar a ese recurso, cuando la incompatibilidad con la Constitución sea inconciliable, o sea, cuando no exista la posibilidad de una solución adecuada del juicio por otras razones distintas que las constitucionales comprendidas en la causa, y la norma no resulte susceptible de interpretación alguna que guarde armonía con la Ley Fundamental y los Trata- dos Internacionales (art. 75, inc. 22 de la Constitución Nacional). Lo dicho implica la exigencia de no pronunciarse por la inconstitucionalidad de una ley que puede ser interpretada en armonía con la Constitución, criterio que constituye una restricción al quehacer judicial, reiteradamente recordado por la Corte Suprema de Justicia de la Nación cuando como se lo explicara al principio y aun a riesgo de ser reiterativo, afirma que la declaración de inconstitucionalidad constituye la última ratio del orden jurídico, por lo que solo será pronunciada siempre que no haya forma alguna de integrar la norma a fin de su coincidencia con la Carta Magna (conf. Lorenzetti, Ricardo Luis: "Código Civil y Comercial de la Nación, Comentado", t. I, </w:t>
      </w:r>
      <w:proofErr w:type="spellStart"/>
      <w:r w:rsidRPr="003F4DA9">
        <w:rPr>
          <w:rFonts w:ascii="Times New Roman" w:hAnsi="Times New Roman" w:cs="Times New Roman"/>
          <w:sz w:val="27"/>
          <w:szCs w:val="27"/>
        </w:rPr>
        <w:t>p.s.</w:t>
      </w:r>
      <w:proofErr w:type="spellEnd"/>
      <w:r w:rsidRPr="003F4DA9">
        <w:rPr>
          <w:rFonts w:ascii="Times New Roman" w:hAnsi="Times New Roman" w:cs="Times New Roman"/>
          <w:sz w:val="27"/>
          <w:szCs w:val="27"/>
        </w:rPr>
        <w:t xml:space="preserve"> 27/8, con cita de los Fallos: 288:325; 290:83; 292:190; 301:962; 324:3345; 4404; 325:645, entre otros). Al ser ello así, no hallándose acreditados los recaudos configurativos de la inconstitucionalidad planteada, corresponde su rechazo.</w:t>
      </w:r>
    </w:p>
    <w:p w14:paraId="56D3B6C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De acuerdo a ello y a lo expresado por el S. Fiscal de Cámara en su dictamen de fs. 1523/1527, cuyos fundamentos comparto, corresponde desestimar el agravio al respecto.</w:t>
      </w:r>
    </w:p>
    <w:p w14:paraId="13190343"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X.</w:t>
      </w:r>
      <w:r w:rsidRPr="003F4DA9">
        <w:rPr>
          <w:rFonts w:ascii="Times New Roman" w:hAnsi="Times New Roman" w:cs="Times New Roman"/>
          <w:sz w:val="27"/>
          <w:szCs w:val="27"/>
        </w:rPr>
        <w:tab/>
        <w:t>Arbitrariedad.</w:t>
      </w:r>
    </w:p>
    <w:p w14:paraId="419ECF9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Cabe hacer mención a las alegadas imputaciones de la obra social codemandada sobre la arbitrariedad del decisorio.</w:t>
      </w:r>
    </w:p>
    <w:p w14:paraId="048DF0A8"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Sabido es que la tacha de arbitrariedad es improcedente si se funda en una merla discrepancia del recurrente con la apreciación de los hechos y la interpretación de la prueba efectuada por los jueces de grado, toda vez que la procedencia de la impugnación requiere la enunciación concreta de las pruebas omitidas y su pertinencia para alterar la decisión de la causa. Nuestro Máximo Tribunal ha señalado al respecto: "La doctrina de la arbitrariedad reviste carácter excepcional y su aplicación no tiene por objeto corregir en tercera instancia pronunciamientos equivocados o que el recurrente considera como tales, ni cubre las discrepancias planteadas respecto de la valoración y selección de la pruebas efectuadas por el Tribunal de la causa, ni autoriza a suplir el criterio de los jueces en cuestiones que, por su naturaleza le son propias si la sentencia expone argumentos suficientes que bastan para sustentarla" (CS, noviembre 27-1979,"Poblet S.M. c/ Colegio San Fecha de firma: 08/06/2021 </w:t>
      </w:r>
      <w:proofErr w:type="spellStart"/>
      <w:r w:rsidRPr="003F4DA9">
        <w:rPr>
          <w:rFonts w:ascii="Times New Roman" w:hAnsi="Times New Roman" w:cs="Times New Roman"/>
          <w:sz w:val="27"/>
          <w:szCs w:val="27"/>
        </w:rPr>
        <w:t>Jose</w:t>
      </w:r>
      <w:proofErr w:type="spellEnd"/>
      <w:r w:rsidRPr="003F4DA9">
        <w:rPr>
          <w:rFonts w:ascii="Times New Roman" w:hAnsi="Times New Roman" w:cs="Times New Roman"/>
          <w:sz w:val="27"/>
          <w:szCs w:val="27"/>
        </w:rPr>
        <w:t xml:space="preserve"> Obrero", ídem junio 5- 1980, "</w:t>
      </w:r>
      <w:proofErr w:type="spellStart"/>
      <w:r w:rsidRPr="003F4DA9">
        <w:rPr>
          <w:rFonts w:ascii="Times New Roman" w:hAnsi="Times New Roman" w:cs="Times New Roman"/>
          <w:sz w:val="27"/>
          <w:szCs w:val="27"/>
        </w:rPr>
        <w:t>Knaus</w:t>
      </w:r>
      <w:proofErr w:type="spellEnd"/>
      <w:r w:rsidRPr="003F4DA9">
        <w:rPr>
          <w:rFonts w:ascii="Times New Roman" w:hAnsi="Times New Roman" w:cs="Times New Roman"/>
          <w:sz w:val="27"/>
          <w:szCs w:val="27"/>
        </w:rPr>
        <w:t>, Silverio c/</w:t>
      </w:r>
      <w:proofErr w:type="spellStart"/>
      <w:r w:rsidRPr="003F4DA9">
        <w:rPr>
          <w:rFonts w:ascii="Times New Roman" w:hAnsi="Times New Roman" w:cs="Times New Roman"/>
          <w:sz w:val="27"/>
          <w:szCs w:val="27"/>
        </w:rPr>
        <w:t>Kilstein</w:t>
      </w:r>
      <w:proofErr w:type="spellEnd"/>
      <w:r w:rsidRPr="003F4DA9">
        <w:rPr>
          <w:rFonts w:ascii="Times New Roman" w:hAnsi="Times New Roman" w:cs="Times New Roman"/>
          <w:sz w:val="27"/>
          <w:szCs w:val="27"/>
        </w:rPr>
        <w:t xml:space="preserve">, </w:t>
      </w:r>
      <w:proofErr w:type="spellStart"/>
      <w:r w:rsidRPr="003F4DA9">
        <w:rPr>
          <w:rFonts w:ascii="Times New Roman" w:hAnsi="Times New Roman" w:cs="Times New Roman"/>
          <w:sz w:val="27"/>
          <w:szCs w:val="27"/>
        </w:rPr>
        <w:t>L.";ídem</w:t>
      </w:r>
      <w:proofErr w:type="spellEnd"/>
      <w:r w:rsidRPr="003F4DA9">
        <w:rPr>
          <w:rFonts w:ascii="Times New Roman" w:hAnsi="Times New Roman" w:cs="Times New Roman"/>
          <w:sz w:val="27"/>
          <w:szCs w:val="27"/>
        </w:rPr>
        <w:t xml:space="preserve"> junio 24-1980, "Moyano, Juan C.", ídem julio 22- 1980,"Mois </w:t>
      </w:r>
      <w:proofErr w:type="spellStart"/>
      <w:r w:rsidRPr="003F4DA9">
        <w:rPr>
          <w:rFonts w:ascii="Times New Roman" w:hAnsi="Times New Roman" w:cs="Times New Roman"/>
          <w:sz w:val="27"/>
          <w:szCs w:val="27"/>
        </w:rPr>
        <w:t>Ghami</w:t>
      </w:r>
      <w:proofErr w:type="spellEnd"/>
      <w:r w:rsidRPr="003F4DA9">
        <w:rPr>
          <w:rFonts w:ascii="Times New Roman" w:hAnsi="Times New Roman" w:cs="Times New Roman"/>
          <w:sz w:val="27"/>
          <w:szCs w:val="27"/>
        </w:rPr>
        <w:t xml:space="preserve"> SA" RED. 14, pagina 893, sum. 416). (CNCiv., Sala "</w:t>
      </w:r>
      <w:proofErr w:type="spellStart"/>
      <w:r w:rsidRPr="003F4DA9">
        <w:rPr>
          <w:rFonts w:ascii="Times New Roman" w:hAnsi="Times New Roman" w:cs="Times New Roman"/>
          <w:sz w:val="27"/>
          <w:szCs w:val="27"/>
        </w:rPr>
        <w:t>H","Lucero</w:t>
      </w:r>
      <w:proofErr w:type="spellEnd"/>
      <w:r w:rsidRPr="003F4DA9">
        <w:rPr>
          <w:rFonts w:ascii="Times New Roman" w:hAnsi="Times New Roman" w:cs="Times New Roman"/>
          <w:sz w:val="27"/>
          <w:szCs w:val="27"/>
        </w:rPr>
        <w:t xml:space="preserve"> SA c/ López Vidal s/ prescripción adquisitiva" R. 494841, 03/09/2008).</w:t>
      </w:r>
    </w:p>
    <w:p w14:paraId="5455FDA0"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Por otra parte, ha sostenido nuestro Máximo Tribunal que la tacha de arbitrariedad no debe encubrir las discrepancias del apelante en lo referente a la apreciación y selección de la prueba, más cuando es un remedio estrictamente excepcional y de su exclusivo resorte (C.S., mayo 11-976, E.D.,64-407) (conf. esta Sala, Expte. N°67983/2015 "Aguilar Teresa del Valle c/Coto C.I.C.S.A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 xml:space="preserve">/ danos y perjuicios" del 30/5/2020; </w:t>
      </w:r>
      <w:proofErr w:type="gramStart"/>
      <w:r w:rsidRPr="003F4DA9">
        <w:rPr>
          <w:rFonts w:ascii="Times New Roman" w:hAnsi="Times New Roman" w:cs="Times New Roman"/>
          <w:sz w:val="27"/>
          <w:szCs w:val="27"/>
        </w:rPr>
        <w:t>id,Expte.N</w:t>
      </w:r>
      <w:proofErr w:type="gramEnd"/>
      <w:r w:rsidRPr="003F4DA9">
        <w:rPr>
          <w:rFonts w:ascii="Times New Roman" w:hAnsi="Times New Roman" w:cs="Times New Roman"/>
          <w:sz w:val="27"/>
          <w:szCs w:val="27"/>
        </w:rPr>
        <w:t xml:space="preserve">°13309/2008 "Ortega Maidana Elva Ramona c/ Maldonado Demetrio y otros s/ danos y perjuicios del 6/8/2020; id. Expte.66350/2014 "Trasmonte, Sergio Ariel c/ Fernández, Norma Alejandra y </w:t>
      </w:r>
      <w:proofErr w:type="spellStart"/>
      <w:r w:rsidRPr="003F4DA9">
        <w:rPr>
          <w:rFonts w:ascii="Times New Roman" w:hAnsi="Times New Roman" w:cs="Times New Roman"/>
          <w:sz w:val="27"/>
          <w:szCs w:val="27"/>
        </w:rPr>
        <w:t>otro s</w:t>
      </w:r>
      <w:proofErr w:type="spellEnd"/>
      <w:r w:rsidRPr="003F4DA9">
        <w:rPr>
          <w:rFonts w:ascii="Times New Roman" w:hAnsi="Times New Roman" w:cs="Times New Roman"/>
          <w:sz w:val="27"/>
          <w:szCs w:val="27"/>
        </w:rPr>
        <w:t>/danos y perjuicios").</w:t>
      </w:r>
    </w:p>
    <w:p w14:paraId="01EFBD7E"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Por ello, y no encontrando elemento alguno que permita vislumbrar que el pronunciamiento de grado este dotado de tal arbitrariedad cabe desestimar este reproche.</w:t>
      </w:r>
    </w:p>
    <w:p w14:paraId="6545407F"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XI.</w:t>
      </w:r>
      <w:r w:rsidRPr="003F4DA9">
        <w:rPr>
          <w:rFonts w:ascii="Times New Roman" w:hAnsi="Times New Roman" w:cs="Times New Roman"/>
          <w:sz w:val="27"/>
          <w:szCs w:val="27"/>
        </w:rPr>
        <w:tab/>
        <w:t>Conclusión.</w:t>
      </w:r>
    </w:p>
    <w:p w14:paraId="2CC82B0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lastRenderedPageBreak/>
        <w:t>A tenor de las consideraciones vertidas en el presente voto propongo al acuerdo: Confirmar la sentencia. Con costas de alzada a cargo de las demandadas condenadas.</w:t>
      </w:r>
    </w:p>
    <w:p w14:paraId="16282CD9"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Por razones análogas a las aducidas por la vocal preopinante el Dr. RAMOS FEIJOO voto en el mismo sentido a la cuestión propuesta. Con lo que termino el acto.</w:t>
      </w:r>
    </w:p>
    <w:p w14:paraId="1E4D513C"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 xml:space="preserve">16. Gabriela M. </w:t>
      </w:r>
      <w:proofErr w:type="spellStart"/>
      <w:r w:rsidRPr="003F4DA9">
        <w:rPr>
          <w:rFonts w:ascii="Times New Roman" w:hAnsi="Times New Roman" w:cs="Times New Roman"/>
          <w:sz w:val="27"/>
          <w:szCs w:val="27"/>
        </w:rPr>
        <w:t>Scolarici</w:t>
      </w:r>
      <w:proofErr w:type="spellEnd"/>
      <w:r w:rsidRPr="003F4DA9">
        <w:rPr>
          <w:rFonts w:ascii="Times New Roman" w:hAnsi="Times New Roman" w:cs="Times New Roman"/>
          <w:sz w:val="27"/>
          <w:szCs w:val="27"/>
        </w:rPr>
        <w:t xml:space="preserve"> 17. Claudio Ramos Feijoo</w:t>
      </w:r>
    </w:p>
    <w:p w14:paraId="17321A74"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Buenos Aires, 18 de marzo de</w:t>
      </w:r>
      <w:r w:rsidRPr="003F4DA9">
        <w:rPr>
          <w:rFonts w:ascii="Times New Roman" w:hAnsi="Times New Roman" w:cs="Times New Roman"/>
          <w:sz w:val="27"/>
          <w:szCs w:val="27"/>
        </w:rPr>
        <w:tab/>
        <w:t xml:space="preserve"> 2024.</w:t>
      </w:r>
    </w:p>
    <w:p w14:paraId="782D9BB2" w14:textId="77777777" w:rsidR="003F4DA9"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AUTOS Y VISTOS:</w:t>
      </w:r>
    </w:p>
    <w:p w14:paraId="4B69A182" w14:textId="08BAE76A" w:rsidR="006E3702" w:rsidRPr="003F4DA9" w:rsidRDefault="003F4DA9" w:rsidP="003F4DA9">
      <w:pPr>
        <w:rPr>
          <w:rFonts w:ascii="Times New Roman" w:hAnsi="Times New Roman" w:cs="Times New Roman"/>
          <w:sz w:val="27"/>
          <w:szCs w:val="27"/>
        </w:rPr>
      </w:pPr>
      <w:r w:rsidRPr="003F4DA9">
        <w:rPr>
          <w:rFonts w:ascii="Times New Roman" w:hAnsi="Times New Roman" w:cs="Times New Roman"/>
          <w:sz w:val="27"/>
          <w:szCs w:val="27"/>
        </w:rPr>
        <w:t>Por lo que resulta de la votación que instruye el acuerdo que antecede: Se confirma la sentencia. Con costas de alzada a cargo de las demandadas condenadas. Se deja constancia de que la vocalía N° 18 se encuentra vacante. Notifíquese y pasen los autos a estudio por honorarios.</w:t>
      </w:r>
    </w:p>
    <w:sectPr w:rsidR="006E3702" w:rsidRPr="003F4D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A9"/>
    <w:rsid w:val="003F4DA9"/>
    <w:rsid w:val="006E37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B8EE"/>
  <w15:chartTrackingRefBased/>
  <w15:docId w15:val="{23EBE7BA-8179-4EC3-9B52-463CD871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9605</Words>
  <Characters>52831</Characters>
  <Application>Microsoft Office Word</Application>
  <DocSecurity>0</DocSecurity>
  <Lines>440</Lines>
  <Paragraphs>124</Paragraphs>
  <ScaleCrop>false</ScaleCrop>
  <Company/>
  <LinksUpToDate>false</LinksUpToDate>
  <CharactersWithSpaces>62312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García</dc:creator>
  <cp:keywords/>
  <dc:description/>
  <cp:lastModifiedBy>Nicolás García</cp:lastModifiedBy>
  <cp:revision>1</cp:revision>
  <dcterms:created xsi:type="dcterms:W3CDTF">2024-04-09T15:33:00Z</dcterms:created>
  <dcterms:modified xsi:type="dcterms:W3CDTF">2024-04-09T15:38:00Z</dcterms:modified>
</cp:coreProperties>
</file>